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68" w:rsidRPr="001C7F0A" w:rsidRDefault="00D0715D" w:rsidP="00AA04DC">
      <w:pPr>
        <w:pStyle w:val="ASRHeading1"/>
      </w:pPr>
      <w:bookmarkStart w:id="0" w:name="_Toc306703552"/>
      <w:r>
        <w:rPr>
          <w:noProof/>
          <w:lang w:val="en-AU" w:eastAsia="en-AU" w:bidi="ar-SA"/>
        </w:rPr>
        <w:drawing>
          <wp:anchor distT="0" distB="0" distL="114300" distR="114300" simplePos="0" relativeHeight="251659264" behindDoc="1" locked="0" layoutInCell="1" allowOverlap="1">
            <wp:simplePos x="0" y="0"/>
            <wp:positionH relativeFrom="column">
              <wp:posOffset>-739140</wp:posOffset>
            </wp:positionH>
            <wp:positionV relativeFrom="paragraph">
              <wp:posOffset>-739140</wp:posOffset>
            </wp:positionV>
            <wp:extent cx="4857750" cy="43529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orI.jpg"/>
                    <pic:cNvPicPr/>
                  </pic:nvPicPr>
                  <pic:blipFill>
                    <a:blip r:embed="rId8" cstate="print"/>
                    <a:stretch>
                      <a:fillRect/>
                    </a:stretch>
                  </pic:blipFill>
                  <pic:spPr>
                    <a:xfrm>
                      <a:off x="0" y="0"/>
                      <a:ext cx="4857750" cy="4352925"/>
                    </a:xfrm>
                    <a:prstGeom prst="rect">
                      <a:avLst/>
                    </a:prstGeom>
                  </pic:spPr>
                </pic:pic>
              </a:graphicData>
            </a:graphic>
          </wp:anchor>
        </w:drawing>
      </w:r>
      <w:r w:rsidR="00204C27">
        <w:rPr>
          <w:noProof/>
          <w:lang w:val="en-AU" w:eastAsia="en-AU" w:bidi="ar-SA"/>
        </w:rPr>
        <w:pict>
          <v:rect id="Rectangle 4" o:spid="_x0000_s1026" style="position:absolute;margin-left:382.05pt;margin-top:-10.5pt;width:216.55pt;height:842.1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" fillcolor="#00b050" stroked="f">
            <o:lock v:ext="edit" aspectratio="t"/>
            <w10:wrap anchorx="page" anchory="page"/>
          </v:rect>
        </w:pict>
      </w:r>
      <w:r w:rsidR="00204C27">
        <w:rPr>
          <w:noProof/>
          <w:lang w:val="en-AU" w:eastAsia="en-AU" w:bidi="ar-SA"/>
        </w:rPr>
        <w:pict>
          <v:shapetype id="_x0000_t202" coordsize="21600,21600" o:spt="202" path="m,l,21600r21600,l21600,xe">
            <v:stroke joinstyle="miter"/>
            <v:path gradientshapeok="t" o:connecttype="rect"/>
          </v:shapetype>
          <v:shape id="Text Box 420" o:spid="_x0000_s1029" type="#_x0000_t202" style="position:absolute;margin-left:382.4pt;margin-top:15.85pt;width:211.3pt;height:61.7pt;z-index:251670528;visibility:visible;mso-wrap-distance-left:.2mm;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uwsQIAAKw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" filled="f" stroked="f">
            <v:textbox style="mso-next-textbox:#Text Box 420" inset="0,0,0,0">
              <w:txbxContent>
                <w:p w:rsidR="00C67A6B" w:rsidRPr="008E6DD9" w:rsidRDefault="00C67A6B" w:rsidP="00104F68">
                  <w:pPr>
                    <w:pStyle w:val="ListBullet"/>
                    <w:numPr>
                      <w:ilvl w:val="0"/>
                      <w:numId w:val="0"/>
                    </w:numPr>
                    <w:spacing w:line="760" w:lineRule="exact"/>
                    <w:jc w:val="center"/>
                    <w:rPr>
                      <w:rFonts w:cstheme="minorHAnsi"/>
                      <w:color w:val="FFFFFF" w:themeColor="background1"/>
                      <w:kern w:val="36"/>
                      <w:sz w:val="32"/>
                      <w:szCs w:val="32"/>
                      <w:lang w:val="en-AU"/>
                    </w:rPr>
                  </w:pPr>
                  <w:r>
                    <w:rPr>
                      <w:rFonts w:cstheme="minorHAnsi"/>
                      <w:color w:val="FFFFFF" w:themeColor="background1"/>
                      <w:kern w:val="36"/>
                      <w:sz w:val="32"/>
                      <w:szCs w:val="32"/>
                      <w:lang w:val="en-AU"/>
                    </w:rPr>
                    <w:t>4218</w:t>
                  </w:r>
                </w:p>
              </w:txbxContent>
            </v:textbox>
            <w10:wrap type="tight" anchorx="page" anchory="page"/>
          </v:shape>
        </w:pict>
      </w:r>
      <w:r w:rsidR="00E46642">
        <w:rPr>
          <w:noProof/>
          <w:lang w:val="en-AU" w:eastAsia="en-AU" w:bidi="ar-SA"/>
        </w:rPr>
        <w:drawing>
          <wp:anchor distT="0" distB="0" distL="114300" distR="114300" simplePos="0" relativeHeight="251674624" behindDoc="0" locked="0" layoutInCell="1" allowOverlap="1">
            <wp:simplePos x="0" y="0"/>
            <wp:positionH relativeFrom="column">
              <wp:posOffset>-272547</wp:posOffset>
            </wp:positionH>
            <wp:positionV relativeFrom="paragraph">
              <wp:posOffset>-431208</wp:posOffset>
            </wp:positionV>
            <wp:extent cx="1918335" cy="567055"/>
            <wp:effectExtent l="0" t="0" r="5715" b="4445"/>
            <wp:wrapNone/>
            <wp:docPr id="1" name="Picture 1" descr="DEC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white.eps"/>
                    <pic:cNvPicPr/>
                  </pic:nvPicPr>
                  <pic:blipFill>
                    <a:blip r:embed="rId9" cstate="print"/>
                    <a:stretch>
                      <a:fillRect/>
                    </a:stretch>
                  </pic:blipFill>
                  <pic:spPr>
                    <a:xfrm>
                      <a:off x="0" y="0"/>
                      <a:ext cx="1918335" cy="567055"/>
                    </a:xfrm>
                    <a:prstGeom prst="rect">
                      <a:avLst/>
                    </a:prstGeom>
                  </pic:spPr>
                </pic:pic>
              </a:graphicData>
            </a:graphic>
          </wp:anchor>
        </w:drawing>
      </w:r>
      <w:bookmarkEnd w:id="0"/>
    </w:p>
    <w:p w:rsidR="00104F68" w:rsidRPr="00FD59D8" w:rsidRDefault="00D0715D" w:rsidP="00AA04DC">
      <w:r>
        <w:rPr>
          <w:noProof/>
          <w:lang w:val="en-AU" w:eastAsia="en-AU" w:bidi="ar-SA"/>
        </w:rPr>
        <w:drawing>
          <wp:anchor distT="0" distB="0" distL="114300" distR="114300" simplePos="0" relativeHeight="251675648" behindDoc="0" locked="0" layoutInCell="1" allowOverlap="1">
            <wp:simplePos x="0" y="0"/>
            <wp:positionH relativeFrom="column">
              <wp:posOffset>-339090</wp:posOffset>
            </wp:positionH>
            <wp:positionV relativeFrom="paragraph">
              <wp:posOffset>4318000</wp:posOffset>
            </wp:positionV>
            <wp:extent cx="3971925" cy="5219700"/>
            <wp:effectExtent l="19050" t="0" r="9525" b="0"/>
            <wp:wrapNone/>
            <wp:docPr id="36" name="Picture 12" descr="DSC_01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_0161.JPG"/>
                    <pic:cNvPicPr/>
                  </pic:nvPicPr>
                  <pic:blipFill>
                    <a:blip r:embed="rId10" cstate="print"/>
                    <a:stretch>
                      <a:fillRect/>
                    </a:stretch>
                  </pic:blipFill>
                  <pic:spPr>
                    <a:xfrm>
                      <a:off x="0" y="0"/>
                      <a:ext cx="3971925" cy="5219700"/>
                    </a:xfrm>
                    <a:prstGeom prst="rect">
                      <a:avLst/>
                    </a:prstGeom>
                  </pic:spPr>
                </pic:pic>
              </a:graphicData>
            </a:graphic>
          </wp:anchor>
        </w:drawing>
      </w:r>
      <w:r w:rsidR="00FD365A">
        <w:rPr>
          <w:noProof/>
          <w:lang w:val="en-AU" w:eastAsia="en-AU" w:bidi="ar-SA"/>
        </w:rPr>
        <w:drawing>
          <wp:anchor distT="0" distB="0" distL="114300" distR="114300" simplePos="0" relativeHeight="251671552" behindDoc="0" locked="0" layoutInCell="1" allowOverlap="1">
            <wp:simplePos x="0" y="0"/>
            <wp:positionH relativeFrom="column">
              <wp:posOffset>5123180</wp:posOffset>
            </wp:positionH>
            <wp:positionV relativeFrom="paragraph">
              <wp:posOffset>8166100</wp:posOffset>
            </wp:positionV>
            <wp:extent cx="752475" cy="873125"/>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x.jpg"/>
                    <pic:cNvPicPr/>
                  </pic:nvPicPr>
                  <pic:blipFill>
                    <a:blip r:embed="rId11" cstate="print"/>
                    <a:stretch>
                      <a:fillRect/>
                    </a:stretch>
                  </pic:blipFill>
                  <pic:spPr>
                    <a:xfrm>
                      <a:off x="0" y="0"/>
                      <a:ext cx="752475" cy="873125"/>
                    </a:xfrm>
                    <a:prstGeom prst="rect">
                      <a:avLst/>
                    </a:prstGeom>
                  </pic:spPr>
                </pic:pic>
              </a:graphicData>
            </a:graphic>
          </wp:anchor>
        </w:drawing>
      </w:r>
      <w:r w:rsidR="00204C27">
        <w:rPr>
          <w:noProof/>
          <w:lang w:val="en-AU" w:eastAsia="en-AU" w:bidi="ar-SA"/>
        </w:rPr>
        <w:pict>
          <v:rect id="Rectangle 7" o:spid="_x0000_s1027" style="position:absolute;margin-left:0;margin-top:336.4pt;width:382.45pt;height:104.9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" fillcolor="white [3212]" stroked="f" strokecolor="#4a7ebb" strokeweight="1.5pt">
            <v:shadow opacity="22938f" offset="0"/>
            <v:textbox style="mso-next-textbox:#Rectangle 7" inset=",7.2pt,,7.2pt">
              <w:txbxContent>
                <w:p w:rsidR="00C67A6B" w:rsidRPr="00100591" w:rsidRDefault="00C67A6B" w:rsidP="007F5F4B">
                  <w:pPr>
                    <w:pStyle w:val="ListBullet"/>
                    <w:numPr>
                      <w:ilvl w:val="0"/>
                      <w:numId w:val="0"/>
                    </w:numPr>
                    <w:spacing w:line="680" w:lineRule="exact"/>
                    <w:ind w:left="426"/>
                    <w:rPr>
                      <w:rFonts w:ascii="Helvetica Neue Light" w:hAnsi="Helvetica Neue Light"/>
                      <w:kern w:val="36"/>
                      <w:sz w:val="56"/>
                    </w:rPr>
                  </w:pPr>
                  <w:proofErr w:type="spellStart"/>
                  <w:r>
                    <w:rPr>
                      <w:rFonts w:ascii="Helvetica Neue Light" w:hAnsi="Helvetica Neue Light"/>
                      <w:kern w:val="36"/>
                      <w:sz w:val="56"/>
                    </w:rPr>
                    <w:t>Gosford</w:t>
                  </w:r>
                  <w:proofErr w:type="spellEnd"/>
                  <w:r>
                    <w:rPr>
                      <w:rFonts w:ascii="Helvetica Neue Light" w:hAnsi="Helvetica Neue Light"/>
                      <w:kern w:val="36"/>
                      <w:sz w:val="56"/>
                    </w:rPr>
                    <w:t xml:space="preserve"> East Public School</w:t>
                  </w:r>
                </w:p>
                <w:p w:rsidR="00C67A6B" w:rsidRDefault="00C67A6B" w:rsidP="007F5F4B">
                  <w:pPr>
                    <w:spacing w:before="120"/>
                    <w:ind w:left="426"/>
                  </w:pPr>
                  <w:r w:rsidRPr="00C76CD2">
                    <w:rPr>
                      <w:rFonts w:ascii="Helvetica Neue Light" w:hAnsi="Helvetica Neue Light"/>
                      <w:color w:val="C00000"/>
                      <w:kern w:val="36"/>
                      <w:sz w:val="56"/>
                    </w:rPr>
                    <w:t xml:space="preserve">Annual </w:t>
                  </w:r>
                  <w:r>
                    <w:rPr>
                      <w:rFonts w:ascii="Helvetica Neue Light" w:hAnsi="Helvetica Neue Light"/>
                      <w:color w:val="C00000"/>
                      <w:kern w:val="36"/>
                      <w:sz w:val="56"/>
                    </w:rPr>
                    <w:t xml:space="preserve">School </w:t>
                  </w:r>
                  <w:r w:rsidRPr="00C76CD2">
                    <w:rPr>
                      <w:rFonts w:ascii="Helvetica Neue Light" w:hAnsi="Helvetica Neue Light"/>
                      <w:color w:val="C00000"/>
                      <w:kern w:val="36"/>
                      <w:sz w:val="56"/>
                    </w:rPr>
                    <w:t>Report</w:t>
                  </w:r>
                </w:p>
              </w:txbxContent>
            </v:textbox>
            <w10:wrap anchorx="page" anchory="page"/>
          </v:rect>
        </w:pict>
      </w:r>
      <w:r w:rsidR="00204C27">
        <w:rPr>
          <w:noProof/>
          <w:lang w:val="en-AU" w:eastAsia="en-AU" w:bidi="ar-SA"/>
        </w:rPr>
        <w:pict>
          <v:shape id="Text Box 2" o:spid="_x0000_s1028" type="#_x0000_t202" alt="Description: Description: Description: Description: 90%" style="position:absolute;margin-left:361.5pt;margin-top:256.95pt;width:207.3pt;height:446.7pt;z-index:251660288;visibility:visible;mso-position-horizontal-relative:page;mso-position-vertical-relative:page" wrapcoords="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&#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" filled="f" stroked="f">
            <v:fill r:id="rId12" o:title=" 90%" recolor="t" type="tile"/>
            <v:textbox style="layout-flow:vertical;mso-layout-flow-alt:bottom-to-top;mso-next-textbox:#Text Box 2" inset="7mm,2mm,0,8mm">
              <w:txbxContent>
                <w:p w:rsidR="00C67A6B" w:rsidRPr="006D1447" w:rsidRDefault="00C67A6B" w:rsidP="009974E3">
                  <w:pPr>
                    <w:jc w:val="right"/>
                    <w:rPr>
                      <w:rFonts w:ascii="Helvetica Neue UltraLight" w:hAnsi="Helvetica Neue UltraLight"/>
                      <w:color w:val="FFFFFF"/>
                      <w:kern w:val="24"/>
                      <w:sz w:val="360"/>
                    </w:rPr>
                  </w:pPr>
                  <w:r w:rsidRPr="006D1447">
                    <w:rPr>
                      <w:rFonts w:ascii="Helvetica Neue UltraLight" w:hAnsi="Helvetica Neue UltraLight"/>
                      <w:color w:val="FFFFFF"/>
                      <w:spacing w:val="60"/>
                      <w:kern w:val="24"/>
                      <w:sz w:val="360"/>
                    </w:rPr>
                    <w:t>2</w:t>
                  </w:r>
                  <w:r w:rsidRPr="006D1447">
                    <w:rPr>
                      <w:rFonts w:ascii="Helvetica Neue UltraLight" w:hAnsi="Helvetica Neue UltraLight"/>
                      <w:color w:val="FFFFFF"/>
                      <w:spacing w:val="-40"/>
                      <w:kern w:val="24"/>
                      <w:sz w:val="360"/>
                    </w:rPr>
                    <w:t>0</w:t>
                  </w:r>
                  <w:r>
                    <w:rPr>
                      <w:rFonts w:ascii="Helvetica Neue UltraLight" w:hAnsi="Helvetica Neue UltraLight"/>
                      <w:color w:val="FFFFFF"/>
                      <w:spacing w:val="-160"/>
                      <w:kern w:val="24"/>
                      <w:sz w:val="360"/>
                    </w:rPr>
                    <w:t>111</w:t>
                  </w:r>
                </w:p>
              </w:txbxContent>
            </v:textbox>
            <w10:wrap type="tight" anchorx="page" anchory="page"/>
          </v:shape>
        </w:pict>
      </w:r>
      <w:r w:rsidR="00104F68" w:rsidRPr="00FD59D8">
        <w:br w:type="page"/>
      </w:r>
    </w:p>
    <w:p w:rsidR="009974E3" w:rsidRPr="000A11D6" w:rsidRDefault="009974E3" w:rsidP="00FD59D8">
      <w:pPr>
        <w:pStyle w:val="ASRHeading1"/>
        <w:outlineLvl w:val="0"/>
      </w:pPr>
      <w:bookmarkStart w:id="1" w:name="_Toc306703553"/>
      <w:r w:rsidRPr="000A11D6">
        <w:lastRenderedPageBreak/>
        <w:t>Our school at a glance</w:t>
      </w:r>
      <w:bookmarkEnd w:id="1"/>
    </w:p>
    <w:p w:rsidR="00EE23FA" w:rsidRDefault="00EE23FA" w:rsidP="00EE23FA">
      <w:pPr>
        <w:pStyle w:val="ASRHeading2"/>
      </w:pPr>
      <w:r>
        <w:t>Students</w:t>
      </w:r>
    </w:p>
    <w:p w:rsidR="00EE23FA" w:rsidRPr="00F710A3" w:rsidRDefault="00EE23FA" w:rsidP="00EE23FA">
      <w:pPr>
        <w:pStyle w:val="ASRBodyText"/>
      </w:pPr>
      <w:r>
        <w:rPr>
          <w:rFonts w:cs="Arial"/>
          <w:iCs/>
          <w:color w:val="000000"/>
        </w:rPr>
        <w:t>Our enrolment in 2011 was 295</w:t>
      </w:r>
      <w:r w:rsidRPr="00F710A3">
        <w:rPr>
          <w:rFonts w:cs="Arial"/>
          <w:iCs/>
          <w:color w:val="000000"/>
        </w:rPr>
        <w:t xml:space="preserve">, </w:t>
      </w:r>
      <w:r>
        <w:rPr>
          <w:rFonts w:cs="Arial"/>
          <w:iCs/>
          <w:color w:val="000000"/>
        </w:rPr>
        <w:t xml:space="preserve">comprising </w:t>
      </w:r>
      <w:r w:rsidR="0080698A">
        <w:rPr>
          <w:rFonts w:cs="Arial"/>
          <w:iCs/>
          <w:color w:val="000000"/>
        </w:rPr>
        <w:t xml:space="preserve">of </w:t>
      </w:r>
      <w:r>
        <w:rPr>
          <w:rFonts w:cs="Arial"/>
          <w:iCs/>
          <w:color w:val="000000"/>
        </w:rPr>
        <w:t>157 boys and 138</w:t>
      </w:r>
      <w:r w:rsidRPr="00F710A3">
        <w:rPr>
          <w:rFonts w:cs="Arial"/>
          <w:iCs/>
          <w:color w:val="000000"/>
        </w:rPr>
        <w:t xml:space="preserve"> girls. There were </w:t>
      </w:r>
      <w:r>
        <w:rPr>
          <w:rFonts w:cs="Arial"/>
          <w:iCs/>
          <w:color w:val="000000"/>
        </w:rPr>
        <w:t>fourteen</w:t>
      </w:r>
      <w:r w:rsidRPr="00F710A3">
        <w:rPr>
          <w:rFonts w:cs="Arial"/>
          <w:iCs/>
          <w:color w:val="000000"/>
        </w:rPr>
        <w:t xml:space="preserve"> classes in the school which included three support classes: two for students with physical disabilities and one for students with mild intellectual disabilities. We have fewer girls than boys.</w:t>
      </w:r>
    </w:p>
    <w:p w:rsidR="00EE23FA" w:rsidRDefault="00EE23FA" w:rsidP="00EE23FA">
      <w:pPr>
        <w:pStyle w:val="ASRHeading2"/>
      </w:pPr>
      <w:r w:rsidRPr="008B447F">
        <w:t>Staff</w:t>
      </w:r>
    </w:p>
    <w:p w:rsidR="00EE23FA" w:rsidRPr="00F710A3" w:rsidRDefault="00EE23FA" w:rsidP="00EE23FA">
      <w:pPr>
        <w:pStyle w:val="ASRBodyText"/>
        <w:rPr>
          <w:iCs/>
          <w:lang w:val="en-AU"/>
        </w:rPr>
      </w:pPr>
      <w:r w:rsidRPr="00F710A3">
        <w:rPr>
          <w:iCs/>
          <w:lang w:val="en-AU"/>
        </w:rPr>
        <w:t xml:space="preserve">The school has 20 teaching staff which includes:  4 Assistant Principals and 10 classroom teachers. Other support </w:t>
      </w:r>
      <w:proofErr w:type="gramStart"/>
      <w:r w:rsidRPr="00F710A3">
        <w:rPr>
          <w:iCs/>
          <w:lang w:val="en-AU"/>
        </w:rPr>
        <w:t>staff</w:t>
      </w:r>
      <w:proofErr w:type="gramEnd"/>
      <w:r w:rsidRPr="00F710A3">
        <w:rPr>
          <w:iCs/>
          <w:lang w:val="en-AU"/>
        </w:rPr>
        <w:t xml:space="preserve"> includes 1 District Guidance Officer who coordinates School Counsellors across a number of schools. In addition, we have a School Administrative Manager, a School Administrative Officer, </w:t>
      </w:r>
      <w:proofErr w:type="gramStart"/>
      <w:r w:rsidRPr="00F710A3">
        <w:rPr>
          <w:iCs/>
          <w:lang w:val="en-AU"/>
        </w:rPr>
        <w:t>a</w:t>
      </w:r>
      <w:proofErr w:type="gramEnd"/>
      <w:r w:rsidRPr="00F710A3">
        <w:rPr>
          <w:iCs/>
          <w:lang w:val="en-AU"/>
        </w:rPr>
        <w:t xml:space="preserve"> School Assistant one day a week in library, a General Assistant for two days per week and three School Learning Support Officers who support our Support Classes. There was also a School Learning Support Officer to assist students with special needs in classrooms across the school.</w:t>
      </w:r>
    </w:p>
    <w:p w:rsidR="00EE23FA" w:rsidRPr="00F710A3" w:rsidRDefault="00EE23FA" w:rsidP="00EE23FA">
      <w:pPr>
        <w:pStyle w:val="ASRBodyText"/>
        <w:rPr>
          <w:iCs/>
          <w:lang w:val="en-AU"/>
        </w:rPr>
      </w:pPr>
      <w:r w:rsidRPr="00F710A3">
        <w:rPr>
          <w:iCs/>
          <w:lang w:val="en-AU"/>
        </w:rPr>
        <w:t>Details are provided on page 3.</w:t>
      </w:r>
    </w:p>
    <w:p w:rsidR="00EE23FA" w:rsidRPr="00F710A3" w:rsidRDefault="00EE23FA" w:rsidP="00EE23FA">
      <w:pPr>
        <w:pStyle w:val="ASRBodyText"/>
        <w:rPr>
          <w:iCs/>
          <w:lang w:val="en-AU"/>
        </w:rPr>
      </w:pPr>
      <w:r w:rsidRPr="00F710A3">
        <w:rPr>
          <w:iCs/>
          <w:lang w:val="en-AU"/>
        </w:rPr>
        <w:t xml:space="preserve">All teaching staff </w:t>
      </w:r>
      <w:proofErr w:type="gramStart"/>
      <w:r w:rsidRPr="00F710A3">
        <w:rPr>
          <w:iCs/>
          <w:lang w:val="en-AU"/>
        </w:rPr>
        <w:t>meet</w:t>
      </w:r>
      <w:proofErr w:type="gramEnd"/>
      <w:r w:rsidRPr="00F710A3">
        <w:rPr>
          <w:iCs/>
          <w:lang w:val="en-AU"/>
        </w:rPr>
        <w:t xml:space="preserve"> the professional requirements for teaching in NSW public schools.</w:t>
      </w:r>
    </w:p>
    <w:p w:rsidR="00EE23FA" w:rsidRDefault="00EE23FA" w:rsidP="00EE23FA">
      <w:pPr>
        <w:pStyle w:val="ASRHeading2"/>
      </w:pPr>
      <w:r>
        <w:t>Significant programs and initiatives</w:t>
      </w:r>
    </w:p>
    <w:p w:rsidR="00EE23FA" w:rsidRPr="00F710A3" w:rsidRDefault="00EE23FA" w:rsidP="00EE23FA">
      <w:pPr>
        <w:pStyle w:val="ASRBodyText"/>
        <w:rPr>
          <w:iCs/>
          <w:lang w:val="en-AU"/>
        </w:rPr>
      </w:pPr>
      <w:r w:rsidRPr="00F710A3">
        <w:rPr>
          <w:iCs/>
          <w:lang w:val="en-AU"/>
        </w:rPr>
        <w:t>The school ran a number of programs and initiatives to enhance the learning experiences and educational outcomes of our students. These included:</w:t>
      </w:r>
    </w:p>
    <w:p w:rsidR="00EE23FA" w:rsidRPr="00F710A3" w:rsidRDefault="00EE23FA" w:rsidP="00EE23FA">
      <w:pPr>
        <w:pStyle w:val="ASRBodyText"/>
        <w:numPr>
          <w:ilvl w:val="0"/>
          <w:numId w:val="17"/>
        </w:numPr>
        <w:rPr>
          <w:lang w:val="en-AU"/>
        </w:rPr>
      </w:pPr>
      <w:r w:rsidRPr="00F710A3">
        <w:rPr>
          <w:lang w:val="en-AU"/>
        </w:rPr>
        <w:t>Values Education, Bullying, Child Protection and Drug Education programs</w:t>
      </w:r>
      <w:r w:rsidR="00F244A4">
        <w:rPr>
          <w:lang w:val="en-AU"/>
        </w:rPr>
        <w:t>;</w:t>
      </w:r>
    </w:p>
    <w:p w:rsidR="00EE23FA" w:rsidRPr="00F710A3" w:rsidRDefault="00EE23FA" w:rsidP="00EE23FA">
      <w:pPr>
        <w:pStyle w:val="ASRBodyText"/>
        <w:numPr>
          <w:ilvl w:val="0"/>
          <w:numId w:val="17"/>
        </w:numPr>
        <w:rPr>
          <w:lang w:val="en-AU"/>
        </w:rPr>
      </w:pPr>
      <w:r w:rsidRPr="00F710A3">
        <w:rPr>
          <w:lang w:val="en-AU"/>
        </w:rPr>
        <w:t>Personalised Learning Plans for Aboriginal Students and Aboriginal Education Programs</w:t>
      </w:r>
      <w:r w:rsidR="00F244A4">
        <w:rPr>
          <w:lang w:val="en-AU"/>
        </w:rPr>
        <w:t>;</w:t>
      </w:r>
    </w:p>
    <w:p w:rsidR="00EE23FA" w:rsidRPr="00F710A3" w:rsidRDefault="00EE23FA" w:rsidP="00EE23FA">
      <w:pPr>
        <w:pStyle w:val="ASRBodyText"/>
        <w:numPr>
          <w:ilvl w:val="0"/>
          <w:numId w:val="17"/>
        </w:numPr>
        <w:rPr>
          <w:lang w:val="en-AU"/>
        </w:rPr>
      </w:pPr>
      <w:r w:rsidRPr="00F710A3">
        <w:rPr>
          <w:lang w:val="en-AU"/>
        </w:rPr>
        <w:t>Literacy Programs for students with “Low Support Needs”</w:t>
      </w:r>
      <w:r w:rsidR="00F244A4">
        <w:rPr>
          <w:lang w:val="en-AU"/>
        </w:rPr>
        <w:t>;</w:t>
      </w:r>
    </w:p>
    <w:p w:rsidR="00EE23FA" w:rsidRPr="00F710A3" w:rsidRDefault="00EE23FA" w:rsidP="00EE23FA">
      <w:pPr>
        <w:pStyle w:val="ASRBodyText"/>
        <w:numPr>
          <w:ilvl w:val="0"/>
          <w:numId w:val="17"/>
        </w:numPr>
        <w:rPr>
          <w:lang w:val="en-AU"/>
        </w:rPr>
      </w:pPr>
      <w:r w:rsidRPr="00F710A3">
        <w:rPr>
          <w:lang w:val="en-AU"/>
        </w:rPr>
        <w:t>Computer Education</w:t>
      </w:r>
      <w:r w:rsidR="00F244A4">
        <w:rPr>
          <w:lang w:val="en-AU"/>
        </w:rPr>
        <w:t>;</w:t>
      </w:r>
    </w:p>
    <w:p w:rsidR="00EE23FA" w:rsidRPr="00F710A3" w:rsidRDefault="00EE23FA" w:rsidP="00EE23FA">
      <w:pPr>
        <w:pStyle w:val="ASRBodyText"/>
        <w:numPr>
          <w:ilvl w:val="0"/>
          <w:numId w:val="17"/>
        </w:numPr>
        <w:rPr>
          <w:lang w:val="en-AU"/>
        </w:rPr>
      </w:pPr>
      <w:r w:rsidRPr="00F710A3">
        <w:rPr>
          <w:lang w:val="en-AU"/>
        </w:rPr>
        <w:t xml:space="preserve">Evaluation of our </w:t>
      </w:r>
      <w:r>
        <w:rPr>
          <w:lang w:val="en-AU"/>
        </w:rPr>
        <w:t>English Policy</w:t>
      </w:r>
      <w:r w:rsidR="00F244A4">
        <w:rPr>
          <w:lang w:val="en-AU"/>
        </w:rPr>
        <w:t>;</w:t>
      </w:r>
    </w:p>
    <w:p w:rsidR="00EE23FA" w:rsidRDefault="00EE23FA" w:rsidP="00EE23FA">
      <w:pPr>
        <w:pStyle w:val="ASRBodyText"/>
        <w:numPr>
          <w:ilvl w:val="0"/>
          <w:numId w:val="17"/>
        </w:numPr>
        <w:rPr>
          <w:lang w:val="en-AU"/>
        </w:rPr>
      </w:pPr>
      <w:r w:rsidRPr="00F710A3">
        <w:rPr>
          <w:lang w:val="en-AU"/>
        </w:rPr>
        <w:t>Leadership in the Middle School</w:t>
      </w:r>
      <w:r w:rsidR="00F244A4">
        <w:rPr>
          <w:lang w:val="en-AU"/>
        </w:rPr>
        <w:t>;</w:t>
      </w:r>
    </w:p>
    <w:p w:rsidR="00EE23FA" w:rsidRPr="00F710A3" w:rsidRDefault="00EE23FA" w:rsidP="00EE23FA">
      <w:pPr>
        <w:pStyle w:val="ASRBodyText"/>
        <w:numPr>
          <w:ilvl w:val="0"/>
          <w:numId w:val="17"/>
        </w:numPr>
        <w:rPr>
          <w:lang w:val="en-AU"/>
        </w:rPr>
      </w:pPr>
      <w:r>
        <w:rPr>
          <w:lang w:val="en-AU"/>
        </w:rPr>
        <w:t>School Choir</w:t>
      </w:r>
      <w:r w:rsidR="00F244A4">
        <w:rPr>
          <w:lang w:val="en-AU"/>
        </w:rPr>
        <w:t>.</w:t>
      </w:r>
    </w:p>
    <w:p w:rsidR="00EE23FA" w:rsidRPr="00E618E8" w:rsidRDefault="00EE23FA" w:rsidP="00EE23FA">
      <w:pPr>
        <w:pStyle w:val="ASRBodyText"/>
      </w:pPr>
    </w:p>
    <w:p w:rsidR="00EE23FA" w:rsidRDefault="00EE23FA" w:rsidP="00EE23FA">
      <w:pPr>
        <w:pStyle w:val="ASRHeading2"/>
      </w:pPr>
    </w:p>
    <w:p w:rsidR="00EE23FA" w:rsidRDefault="00CA4E34" w:rsidP="00EE23FA">
      <w:pPr>
        <w:pStyle w:val="ASRHeading2"/>
        <w:spacing w:before="0"/>
      </w:pPr>
      <w:r>
        <w:lastRenderedPageBreak/>
        <w:t>Student achievement in 2011</w:t>
      </w:r>
    </w:p>
    <w:p w:rsidR="00EE23FA" w:rsidRPr="00E54D9E" w:rsidRDefault="00EE23FA" w:rsidP="00EE23FA">
      <w:pPr>
        <w:pStyle w:val="ASRBodyText"/>
        <w:rPr>
          <w:b/>
          <w:iCs/>
          <w:lang w:val="en-AU"/>
        </w:rPr>
      </w:pPr>
      <w:r w:rsidRPr="00E54D9E">
        <w:rPr>
          <w:b/>
          <w:iCs/>
          <w:lang w:val="en-AU"/>
        </w:rPr>
        <w:t>Literacy – NAPLAN Year 3</w:t>
      </w:r>
    </w:p>
    <w:p w:rsidR="00EE23FA" w:rsidRPr="00E54D9E" w:rsidRDefault="00EE23FA" w:rsidP="00EE23FA">
      <w:pPr>
        <w:pStyle w:val="ASRBodyText"/>
        <w:rPr>
          <w:iCs/>
          <w:lang w:val="en-AU"/>
        </w:rPr>
      </w:pPr>
      <w:r>
        <w:rPr>
          <w:iCs/>
          <w:lang w:val="en-AU"/>
        </w:rPr>
        <w:t>Our results in Year 3 Literacy</w:t>
      </w:r>
      <w:r w:rsidR="00BB2F8C">
        <w:rPr>
          <w:iCs/>
          <w:lang w:val="en-AU"/>
        </w:rPr>
        <w:t xml:space="preserve"> were most pleasing being above</w:t>
      </w:r>
      <w:r>
        <w:rPr>
          <w:iCs/>
          <w:lang w:val="en-AU"/>
        </w:rPr>
        <w:t xml:space="preserve"> state average in </w:t>
      </w:r>
      <w:r w:rsidR="000F15E9">
        <w:rPr>
          <w:iCs/>
          <w:lang w:val="en-AU"/>
        </w:rPr>
        <w:t>Reading and Writing</w:t>
      </w:r>
      <w:r w:rsidR="007D4377">
        <w:rPr>
          <w:iCs/>
          <w:lang w:val="en-AU"/>
        </w:rPr>
        <w:t>,</w:t>
      </w:r>
      <w:r w:rsidR="000F15E9">
        <w:rPr>
          <w:iCs/>
          <w:lang w:val="en-AU"/>
        </w:rPr>
        <w:t xml:space="preserve"> just below in Spelling and Grammar and Punctuation. We were above the Similar School Group (SSG)</w:t>
      </w:r>
      <w:r>
        <w:rPr>
          <w:iCs/>
          <w:lang w:val="en-AU"/>
        </w:rPr>
        <w:t xml:space="preserve"> </w:t>
      </w:r>
      <w:r w:rsidR="000F15E9">
        <w:rPr>
          <w:iCs/>
          <w:lang w:val="en-AU"/>
        </w:rPr>
        <w:t>in all areas which was most pleasing</w:t>
      </w:r>
      <w:r w:rsidR="007D4377">
        <w:rPr>
          <w:iCs/>
          <w:lang w:val="en-AU"/>
        </w:rPr>
        <w:t>.</w:t>
      </w:r>
    </w:p>
    <w:p w:rsidR="00EE23FA" w:rsidRPr="00E54D9E" w:rsidRDefault="00EE23FA" w:rsidP="00EE23FA">
      <w:pPr>
        <w:pStyle w:val="ASRBodyText"/>
        <w:rPr>
          <w:b/>
          <w:iCs/>
          <w:lang w:val="en-AU"/>
        </w:rPr>
      </w:pPr>
      <w:r w:rsidRPr="00E54D9E">
        <w:rPr>
          <w:b/>
          <w:iCs/>
          <w:lang w:val="en-AU"/>
        </w:rPr>
        <w:t>Numeracy – NAPLAN Year 3</w:t>
      </w:r>
    </w:p>
    <w:p w:rsidR="000F15E9" w:rsidRDefault="00EE23FA" w:rsidP="00EE23FA">
      <w:pPr>
        <w:pStyle w:val="ASRBodyText"/>
        <w:rPr>
          <w:iCs/>
          <w:lang w:val="en-AU"/>
        </w:rPr>
      </w:pPr>
      <w:r w:rsidRPr="00E54D9E">
        <w:rPr>
          <w:iCs/>
          <w:lang w:val="en-AU"/>
        </w:rPr>
        <w:t xml:space="preserve">Our results in Numeracy </w:t>
      </w:r>
      <w:r>
        <w:rPr>
          <w:iCs/>
          <w:lang w:val="en-AU"/>
        </w:rPr>
        <w:t xml:space="preserve">were </w:t>
      </w:r>
      <w:r w:rsidR="000F15E9">
        <w:rPr>
          <w:iCs/>
          <w:lang w:val="en-AU"/>
        </w:rPr>
        <w:t xml:space="preserve">most </w:t>
      </w:r>
      <w:proofErr w:type="gramStart"/>
      <w:r>
        <w:rPr>
          <w:iCs/>
          <w:lang w:val="en-AU"/>
        </w:rPr>
        <w:t>pleasing,</w:t>
      </w:r>
      <w:proofErr w:type="gramEnd"/>
      <w:r w:rsidR="00BB2F8C">
        <w:rPr>
          <w:iCs/>
          <w:lang w:val="en-AU"/>
        </w:rPr>
        <w:t xml:space="preserve"> we were</w:t>
      </w:r>
      <w:r>
        <w:rPr>
          <w:iCs/>
          <w:lang w:val="en-AU"/>
        </w:rPr>
        <w:t xml:space="preserve"> </w:t>
      </w:r>
      <w:r w:rsidR="000F15E9">
        <w:rPr>
          <w:iCs/>
          <w:lang w:val="en-AU"/>
        </w:rPr>
        <w:t xml:space="preserve">18 points above </w:t>
      </w:r>
      <w:r>
        <w:rPr>
          <w:iCs/>
          <w:lang w:val="en-AU"/>
        </w:rPr>
        <w:t>state average in both areas,</w:t>
      </w:r>
      <w:r w:rsidR="000F15E9">
        <w:rPr>
          <w:iCs/>
          <w:lang w:val="en-AU"/>
        </w:rPr>
        <w:t xml:space="preserve"> with 47% being in the top two bands with no student in Band 1.</w:t>
      </w:r>
    </w:p>
    <w:p w:rsidR="00EE23FA" w:rsidRPr="00E54D9E" w:rsidRDefault="00EE23FA" w:rsidP="00EE23FA">
      <w:pPr>
        <w:pStyle w:val="ASRBodyText"/>
        <w:rPr>
          <w:b/>
          <w:iCs/>
          <w:lang w:val="en-AU"/>
        </w:rPr>
      </w:pPr>
      <w:r w:rsidRPr="00E54D9E">
        <w:rPr>
          <w:b/>
          <w:iCs/>
          <w:lang w:val="en-AU"/>
        </w:rPr>
        <w:t>Literacy – NAPLAN Year 5</w:t>
      </w:r>
    </w:p>
    <w:p w:rsidR="006E5ACE" w:rsidRDefault="00EE23FA" w:rsidP="00EE23FA">
      <w:pPr>
        <w:pStyle w:val="ASRBodyText"/>
        <w:rPr>
          <w:iCs/>
          <w:lang w:val="en-AU"/>
        </w:rPr>
      </w:pPr>
      <w:r w:rsidRPr="00E54D9E">
        <w:rPr>
          <w:iCs/>
          <w:lang w:val="en-AU"/>
        </w:rPr>
        <w:t xml:space="preserve">We were </w:t>
      </w:r>
      <w:r w:rsidR="00BB2F8C">
        <w:rPr>
          <w:iCs/>
          <w:lang w:val="en-AU"/>
        </w:rPr>
        <w:t>mixed results with our Year 5</w:t>
      </w:r>
      <w:bookmarkStart w:id="2" w:name="_GoBack"/>
      <w:bookmarkEnd w:id="2"/>
      <w:r w:rsidRPr="00E54D9E">
        <w:rPr>
          <w:iCs/>
          <w:lang w:val="en-AU"/>
        </w:rPr>
        <w:t xml:space="preserve">. We were above state average in </w:t>
      </w:r>
      <w:r w:rsidR="00BB2F8C">
        <w:rPr>
          <w:iCs/>
          <w:lang w:val="en-AU"/>
        </w:rPr>
        <w:t xml:space="preserve">Reading and Grammar and Punctuation and below in Writing and Spelling. </w:t>
      </w:r>
      <w:r w:rsidRPr="00E54D9E">
        <w:rPr>
          <w:iCs/>
          <w:lang w:val="en-AU"/>
        </w:rPr>
        <w:t>Boys did better than girls in all areas</w:t>
      </w:r>
      <w:r w:rsidR="006E5ACE">
        <w:rPr>
          <w:iCs/>
          <w:lang w:val="en-AU"/>
        </w:rPr>
        <w:t>.</w:t>
      </w:r>
    </w:p>
    <w:p w:rsidR="00EE23FA" w:rsidRPr="00E54D9E" w:rsidRDefault="00EE23FA" w:rsidP="00EE23FA">
      <w:pPr>
        <w:pStyle w:val="ASRBodyText"/>
        <w:rPr>
          <w:b/>
          <w:iCs/>
          <w:lang w:val="en-AU"/>
        </w:rPr>
      </w:pPr>
      <w:r w:rsidRPr="00E54D9E">
        <w:rPr>
          <w:b/>
          <w:iCs/>
          <w:lang w:val="en-AU"/>
        </w:rPr>
        <w:t>Numeracy – NAPLAN Year 5</w:t>
      </w:r>
    </w:p>
    <w:p w:rsidR="00EE23FA" w:rsidRPr="0056576D" w:rsidRDefault="00EE23FA" w:rsidP="00EE23FA">
      <w:pPr>
        <w:pStyle w:val="ASRBodyText"/>
        <w:rPr>
          <w:iCs/>
          <w:lang w:val="en-AU"/>
        </w:rPr>
      </w:pPr>
      <w:r w:rsidRPr="00E54D9E">
        <w:rPr>
          <w:iCs/>
          <w:lang w:val="en-AU"/>
        </w:rPr>
        <w:t xml:space="preserve">Our Numeracy results were </w:t>
      </w:r>
      <w:r w:rsidR="00BB2F8C">
        <w:rPr>
          <w:iCs/>
          <w:lang w:val="en-AU"/>
        </w:rPr>
        <w:t xml:space="preserve">again </w:t>
      </w:r>
      <w:r w:rsidRPr="00E54D9E">
        <w:rPr>
          <w:iCs/>
          <w:lang w:val="en-AU"/>
        </w:rPr>
        <w:t>ple</w:t>
      </w:r>
      <w:r>
        <w:rPr>
          <w:iCs/>
          <w:lang w:val="en-AU"/>
        </w:rPr>
        <w:t>asing. Our school average was around state average in all areas.</w:t>
      </w:r>
    </w:p>
    <w:p w:rsidR="009974E3" w:rsidRPr="000A11D6" w:rsidRDefault="009974E3" w:rsidP="00FD59D8">
      <w:pPr>
        <w:pStyle w:val="ASRHeading1"/>
        <w:outlineLvl w:val="0"/>
      </w:pPr>
      <w:bookmarkStart w:id="3" w:name="_Toc306703558"/>
      <w:r w:rsidRPr="000A11D6">
        <w:t>Messages</w:t>
      </w:r>
      <w:bookmarkEnd w:id="3"/>
    </w:p>
    <w:p w:rsidR="009974E3" w:rsidRPr="000A11D6" w:rsidRDefault="009974E3" w:rsidP="00FD59D8">
      <w:pPr>
        <w:pStyle w:val="ASRHeading2"/>
        <w:outlineLvl w:val="1"/>
      </w:pPr>
      <w:bookmarkStart w:id="4" w:name="_Toc306703559"/>
      <w:r w:rsidRPr="000A11D6">
        <w:t>Principal’s message</w:t>
      </w:r>
      <w:bookmarkEnd w:id="4"/>
    </w:p>
    <w:p w:rsidR="009A2E62" w:rsidRPr="00023FE7" w:rsidRDefault="009A2E62" w:rsidP="009A2E62">
      <w:pPr>
        <w:pStyle w:val="ASRBodyText"/>
        <w:rPr>
          <w:iCs/>
          <w:lang w:val="en-AU"/>
        </w:rPr>
      </w:pPr>
      <w:smartTag w:uri="urn:schemas-microsoft-com:office:smarttags" w:element="place">
        <w:smartTag w:uri="urn:schemas-microsoft-com:office:smarttags" w:element="PlaceName">
          <w:r w:rsidRPr="00023FE7">
            <w:rPr>
              <w:iCs/>
              <w:lang w:val="en-AU"/>
            </w:rPr>
            <w:t>Gosford</w:t>
          </w:r>
        </w:smartTag>
        <w:r w:rsidRPr="00023FE7">
          <w:rPr>
            <w:iCs/>
            <w:lang w:val="en-AU"/>
          </w:rPr>
          <w:t xml:space="preserve"> </w:t>
        </w:r>
        <w:smartTag w:uri="urn:schemas-microsoft-com:office:smarttags" w:element="PlaceName">
          <w:r w:rsidRPr="00023FE7">
            <w:rPr>
              <w:iCs/>
              <w:lang w:val="en-AU"/>
            </w:rPr>
            <w:t>East</w:t>
          </w:r>
        </w:smartTag>
        <w:r w:rsidRPr="00023FE7">
          <w:rPr>
            <w:iCs/>
            <w:lang w:val="en-AU"/>
          </w:rPr>
          <w:t xml:space="preserve"> </w:t>
        </w:r>
        <w:smartTag w:uri="urn:schemas-microsoft-com:office:smarttags" w:element="PlaceType">
          <w:r w:rsidRPr="00023FE7">
            <w:rPr>
              <w:iCs/>
              <w:lang w:val="en-AU"/>
            </w:rPr>
            <w:t>Public School</w:t>
          </w:r>
        </w:smartTag>
      </w:smartTag>
      <w:r w:rsidRPr="00023FE7">
        <w:rPr>
          <w:iCs/>
          <w:lang w:val="en-AU"/>
        </w:rPr>
        <w:t xml:space="preserve"> continues to provide a sound education where students are encouraged to do their personal best in a very supportive and nurturing environment. We continue to place an emphasis on the basics while still placing importance on the development of values and skills for life.</w:t>
      </w:r>
    </w:p>
    <w:p w:rsidR="009A2E62" w:rsidRPr="00023FE7" w:rsidRDefault="009A2E62" w:rsidP="009A2E62">
      <w:pPr>
        <w:pStyle w:val="ASRBodyText"/>
        <w:rPr>
          <w:iCs/>
          <w:lang w:val="en-AU"/>
        </w:rPr>
      </w:pPr>
      <w:r w:rsidRPr="00023FE7">
        <w:rPr>
          <w:iCs/>
          <w:lang w:val="en-AU"/>
        </w:rPr>
        <w:t>We do have a very diverse student population with varying needs that are catered for by very professional teaching and support staff.</w:t>
      </w:r>
    </w:p>
    <w:p w:rsidR="009A2E62" w:rsidRPr="00023FE7" w:rsidRDefault="009A2E62" w:rsidP="009A2E62">
      <w:pPr>
        <w:pStyle w:val="ASRBodyText"/>
        <w:rPr>
          <w:iCs/>
          <w:lang w:val="en-AU"/>
        </w:rPr>
      </w:pPr>
      <w:r w:rsidRPr="00023FE7">
        <w:rPr>
          <w:iCs/>
          <w:lang w:val="en-AU"/>
        </w:rPr>
        <w:t xml:space="preserve">Parent and community support continues to be very high. </w:t>
      </w:r>
      <w:proofErr w:type="spellStart"/>
      <w:r>
        <w:rPr>
          <w:iCs/>
          <w:lang w:val="en-AU"/>
        </w:rPr>
        <w:t>Bunnings</w:t>
      </w:r>
      <w:proofErr w:type="spellEnd"/>
      <w:r>
        <w:rPr>
          <w:iCs/>
          <w:lang w:val="en-AU"/>
        </w:rPr>
        <w:t xml:space="preserve"> have built </w:t>
      </w:r>
      <w:r w:rsidR="007D062E">
        <w:rPr>
          <w:iCs/>
          <w:lang w:val="en-AU"/>
        </w:rPr>
        <w:t xml:space="preserve">and landscaped three raised garden beds and </w:t>
      </w:r>
      <w:r>
        <w:rPr>
          <w:iCs/>
          <w:lang w:val="en-AU"/>
        </w:rPr>
        <w:t xml:space="preserve">provided plants for </w:t>
      </w:r>
      <w:r w:rsidR="007D062E">
        <w:rPr>
          <w:iCs/>
          <w:lang w:val="en-AU"/>
        </w:rPr>
        <w:t>these.</w:t>
      </w:r>
    </w:p>
    <w:p w:rsidR="0080698A" w:rsidRDefault="009A2E62" w:rsidP="009A2E62">
      <w:pPr>
        <w:pStyle w:val="ASRBodyText"/>
        <w:rPr>
          <w:iCs/>
          <w:lang w:val="en-AU"/>
        </w:rPr>
      </w:pPr>
      <w:r w:rsidRPr="00023FE7">
        <w:rPr>
          <w:iCs/>
          <w:lang w:val="en-AU"/>
        </w:rPr>
        <w:t>The P &amp; C continue to be extremely supportive and provide many resources for the school.</w:t>
      </w:r>
      <w:r w:rsidR="007D062E">
        <w:rPr>
          <w:iCs/>
          <w:lang w:val="en-AU"/>
        </w:rPr>
        <w:t xml:space="preserve"> This year they purchased six computers and provided $3000 for literacy resources.</w:t>
      </w:r>
      <w:r w:rsidRPr="00023FE7">
        <w:rPr>
          <w:iCs/>
          <w:lang w:val="en-AU"/>
        </w:rPr>
        <w:t xml:space="preserve"> They also run the Uniform Shop</w:t>
      </w:r>
      <w:r w:rsidR="007D062E">
        <w:rPr>
          <w:iCs/>
          <w:lang w:val="en-AU"/>
        </w:rPr>
        <w:t xml:space="preserve">, School Banking, </w:t>
      </w:r>
      <w:proofErr w:type="spellStart"/>
      <w:proofErr w:type="gramStart"/>
      <w:r w:rsidR="007D062E">
        <w:rPr>
          <w:iCs/>
          <w:lang w:val="en-AU"/>
        </w:rPr>
        <w:t>Bookclub</w:t>
      </w:r>
      <w:proofErr w:type="spellEnd"/>
      <w:proofErr w:type="gramEnd"/>
      <w:r w:rsidR="007D062E">
        <w:rPr>
          <w:iCs/>
          <w:lang w:val="en-AU"/>
        </w:rPr>
        <w:t>, Mothers and Fathers Day stall</w:t>
      </w:r>
      <w:r w:rsidRPr="00023FE7">
        <w:rPr>
          <w:iCs/>
          <w:lang w:val="en-AU"/>
        </w:rPr>
        <w:t xml:space="preserve"> and the Canteen which ensure that the children can be clothed and fed at very reasonable prices. </w:t>
      </w:r>
    </w:p>
    <w:p w:rsidR="009A2E62" w:rsidRPr="00023FE7" w:rsidRDefault="009A2E62" w:rsidP="009A2E62">
      <w:pPr>
        <w:pStyle w:val="ASRBodyText"/>
        <w:rPr>
          <w:iCs/>
          <w:lang w:val="en-AU"/>
        </w:rPr>
      </w:pPr>
      <w:r w:rsidRPr="00023FE7">
        <w:rPr>
          <w:iCs/>
          <w:lang w:val="en-AU"/>
        </w:rPr>
        <w:lastRenderedPageBreak/>
        <w:t>Local sporting clubs continue to provide programs for the children at our school and the links with the business community continue to be very strong. Without their support the school could not deliver all that is expected.</w:t>
      </w:r>
    </w:p>
    <w:p w:rsidR="009974E3" w:rsidRPr="000A11D6" w:rsidRDefault="009974E3" w:rsidP="00E976B7">
      <w:pPr>
        <w:pStyle w:val="ASRBodyText"/>
      </w:pPr>
      <w:r w:rsidRPr="000A11D6">
        <w:t>I certify that the information in this report is the result of a rigorous school self-</w:t>
      </w:r>
      <w:r w:rsidRPr="003C7204">
        <w:t>evaluation</w:t>
      </w:r>
      <w:r w:rsidRPr="000A11D6">
        <w:t xml:space="preserve"> process and is a balanced and genuine account of the school’s achievements and areas for development.</w:t>
      </w:r>
    </w:p>
    <w:p w:rsidR="009974E3" w:rsidRPr="000A11D6" w:rsidRDefault="007D062E" w:rsidP="00FB3071">
      <w:pPr>
        <w:pStyle w:val="InsertName"/>
      </w:pPr>
      <w:r>
        <w:t>Graeme McLeod</w:t>
      </w:r>
    </w:p>
    <w:p w:rsidR="005D00B6" w:rsidRDefault="009974E3" w:rsidP="005D00B6">
      <w:pPr>
        <w:pStyle w:val="ASRHeading2"/>
        <w:outlineLvl w:val="1"/>
        <w:rPr>
          <w:lang w:val="en-AU"/>
        </w:rPr>
      </w:pPr>
      <w:bookmarkStart w:id="5" w:name="_Toc306703560"/>
      <w:r w:rsidRPr="000A11D6">
        <w:t xml:space="preserve">P &amp; C </w:t>
      </w:r>
      <w:bookmarkStart w:id="6" w:name="_Toc306703562"/>
      <w:bookmarkEnd w:id="5"/>
      <w:r w:rsidR="005D00B6">
        <w:rPr>
          <w:lang w:val="en-AU"/>
        </w:rPr>
        <w:t>2011 Presidents Report</w:t>
      </w:r>
    </w:p>
    <w:p w:rsidR="005D00B6" w:rsidRDefault="005D00B6" w:rsidP="005D00B6">
      <w:pPr>
        <w:jc w:val="both"/>
        <w:rPr>
          <w:lang w:val="en-AU"/>
        </w:rPr>
      </w:pPr>
      <w:r>
        <w:rPr>
          <w:lang w:val="en-AU"/>
        </w:rPr>
        <w:t xml:space="preserve">2011 has been another successful year for Gosford East Public Schools P&amp;C. With a bit more experience this year we have continued to raise money for our wonderful school and provide it with those little extras that help both students and teachers. </w:t>
      </w:r>
    </w:p>
    <w:p w:rsidR="005D00B6" w:rsidRDefault="005D00B6" w:rsidP="005D00B6">
      <w:pPr>
        <w:jc w:val="both"/>
        <w:rPr>
          <w:lang w:val="en-AU"/>
        </w:rPr>
      </w:pPr>
      <w:r>
        <w:rPr>
          <w:lang w:val="en-AU"/>
        </w:rPr>
        <w:t>In 2011 we didn’t have a major event but we still managed to hold 3 discos, Mothers and Fathers day stalls, and Election BBQ. We also raised money thorough our School Canteen, Uniform Shop, Scholastic book club and Commonwealth school banking program. The money raised throughout 2011 was donated back to the school with $3000 going towards new computers and another $3000 towards school books.</w:t>
      </w:r>
    </w:p>
    <w:p w:rsidR="005D00B6" w:rsidRDefault="005D00B6" w:rsidP="005D00B6">
      <w:pPr>
        <w:jc w:val="both"/>
        <w:rPr>
          <w:lang w:val="en-AU"/>
        </w:rPr>
      </w:pPr>
      <w:r>
        <w:rPr>
          <w:lang w:val="en-AU"/>
        </w:rPr>
        <w:t xml:space="preserve">In 2012 we hope to again have a few new members to help our school. We also hope to raise enough money to restore our gardens back to their former beauty. </w:t>
      </w:r>
    </w:p>
    <w:p w:rsidR="005D00B6" w:rsidRDefault="005D00B6" w:rsidP="005D00B6">
      <w:pPr>
        <w:jc w:val="both"/>
        <w:rPr>
          <w:lang w:val="en-AU"/>
        </w:rPr>
      </w:pPr>
      <w:r>
        <w:rPr>
          <w:lang w:val="en-AU"/>
        </w:rPr>
        <w:t>Thanks again to our magnificent committee for the past year. All of you help hasn’t gone unnoticed. Thanks also to all the mums who can’t commit to full time P&amp;C but came and helped with stalls, school banking, book club, uniform shop and canteen. Hope you are looking forward to another great year.</w:t>
      </w:r>
    </w:p>
    <w:p w:rsidR="005D00B6" w:rsidRPr="005D00B6" w:rsidRDefault="005D00B6" w:rsidP="005D00B6">
      <w:pPr>
        <w:spacing w:after="0" w:line="240" w:lineRule="auto"/>
        <w:jc w:val="both"/>
        <w:rPr>
          <w:b/>
          <w:lang w:val="en-AU"/>
        </w:rPr>
      </w:pPr>
      <w:r w:rsidRPr="005D00B6">
        <w:rPr>
          <w:b/>
          <w:lang w:val="en-AU"/>
        </w:rPr>
        <w:t xml:space="preserve">Nyssa Van Dam </w:t>
      </w:r>
    </w:p>
    <w:p w:rsidR="005D00B6" w:rsidRPr="005D00B6" w:rsidRDefault="005D00B6" w:rsidP="005D00B6">
      <w:pPr>
        <w:spacing w:after="0" w:line="240" w:lineRule="auto"/>
        <w:jc w:val="both"/>
        <w:rPr>
          <w:b/>
          <w:lang w:val="en-AU"/>
        </w:rPr>
      </w:pPr>
      <w:r w:rsidRPr="005D00B6">
        <w:rPr>
          <w:b/>
          <w:lang w:val="en-AU"/>
        </w:rPr>
        <w:t>P &amp; C President</w:t>
      </w:r>
    </w:p>
    <w:p w:rsidR="005D00B6" w:rsidRDefault="005D00B6" w:rsidP="005D00B6">
      <w:pPr>
        <w:spacing w:after="0" w:line="240" w:lineRule="auto"/>
        <w:jc w:val="both"/>
        <w:rPr>
          <w:lang w:val="en-AU"/>
        </w:rPr>
      </w:pPr>
    </w:p>
    <w:p w:rsidR="005D00B6" w:rsidRDefault="005D00B6" w:rsidP="005D00B6">
      <w:pPr>
        <w:spacing w:after="0" w:line="240" w:lineRule="auto"/>
        <w:jc w:val="both"/>
        <w:rPr>
          <w:lang w:val="en-AU"/>
        </w:rPr>
      </w:pPr>
    </w:p>
    <w:p w:rsidR="005D00B6" w:rsidRDefault="005D00B6" w:rsidP="005D00B6">
      <w:pPr>
        <w:spacing w:after="0" w:line="240" w:lineRule="auto"/>
        <w:jc w:val="both"/>
        <w:rPr>
          <w:lang w:val="en-AU"/>
        </w:rPr>
      </w:pPr>
    </w:p>
    <w:p w:rsidR="005D00B6" w:rsidRPr="00644487" w:rsidRDefault="005D00B6" w:rsidP="005D00B6">
      <w:pPr>
        <w:spacing w:after="0" w:line="240" w:lineRule="auto"/>
        <w:jc w:val="both"/>
        <w:rPr>
          <w:lang w:val="en-AU"/>
        </w:rPr>
      </w:pPr>
    </w:p>
    <w:p w:rsidR="009974E3" w:rsidRPr="000A11D6" w:rsidRDefault="009974E3" w:rsidP="00FD59D8">
      <w:pPr>
        <w:pStyle w:val="ASRHeading2"/>
        <w:outlineLvl w:val="1"/>
      </w:pPr>
      <w:bookmarkStart w:id="7" w:name="_Toc306703563"/>
      <w:bookmarkEnd w:id="6"/>
      <w:r w:rsidRPr="000A11D6">
        <w:lastRenderedPageBreak/>
        <w:t>Student information</w:t>
      </w:r>
      <w:bookmarkEnd w:id="7"/>
    </w:p>
    <w:p w:rsidR="009974E3" w:rsidRPr="000A11D6" w:rsidRDefault="009974E3" w:rsidP="00E976B7">
      <w:pPr>
        <w:pStyle w:val="ASRBodyText"/>
      </w:pPr>
      <w:r w:rsidRPr="000A11D6">
        <w:t>It is a requirement that the reporting of information for all students must be consistent with privacy and personal information policies.</w:t>
      </w:r>
    </w:p>
    <w:p w:rsidR="009974E3" w:rsidRDefault="009974E3" w:rsidP="00FD59D8">
      <w:pPr>
        <w:pStyle w:val="ASRHeading3"/>
        <w:outlineLvl w:val="2"/>
      </w:pPr>
      <w:bookmarkStart w:id="8" w:name="_Toc306703564"/>
      <w:r w:rsidRPr="000A11D6">
        <w:t>Student enrolment profile</w:t>
      </w:r>
      <w:bookmarkEnd w:id="8"/>
    </w:p>
    <w:tbl>
      <w:tblPr>
        <w:tblW w:w="4440" w:type="dxa"/>
        <w:tblInd w:w="103" w:type="dxa"/>
        <w:tblLook w:val="04A0"/>
      </w:tblPr>
      <w:tblGrid>
        <w:gridCol w:w="893"/>
        <w:gridCol w:w="720"/>
        <w:gridCol w:w="720"/>
        <w:gridCol w:w="720"/>
        <w:gridCol w:w="720"/>
        <w:gridCol w:w="720"/>
      </w:tblGrid>
      <w:tr w:rsidR="00CA4E34" w:rsidRPr="00CA4E34" w:rsidTr="00CA4E34">
        <w:trPr>
          <w:trHeight w:val="330"/>
        </w:trPr>
        <w:tc>
          <w:tcPr>
            <w:tcW w:w="840"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Gender</w:t>
            </w:r>
          </w:p>
        </w:tc>
        <w:tc>
          <w:tcPr>
            <w:tcW w:w="72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2007</w:t>
            </w:r>
          </w:p>
        </w:tc>
        <w:tc>
          <w:tcPr>
            <w:tcW w:w="72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2008</w:t>
            </w:r>
          </w:p>
        </w:tc>
        <w:tc>
          <w:tcPr>
            <w:tcW w:w="72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2009</w:t>
            </w:r>
          </w:p>
        </w:tc>
        <w:tc>
          <w:tcPr>
            <w:tcW w:w="72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2010</w:t>
            </w:r>
          </w:p>
        </w:tc>
        <w:tc>
          <w:tcPr>
            <w:tcW w:w="72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2011</w:t>
            </w:r>
          </w:p>
        </w:tc>
      </w:tr>
      <w:tr w:rsidR="00CA4E34" w:rsidRPr="00CA4E34" w:rsidTr="00CA4E34">
        <w:trPr>
          <w:trHeight w:val="300"/>
        </w:trPr>
        <w:tc>
          <w:tcPr>
            <w:tcW w:w="840" w:type="dxa"/>
            <w:tcBorders>
              <w:top w:val="nil"/>
              <w:left w:val="single" w:sz="4" w:space="0" w:color="7F7F7F"/>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Male</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200</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188</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179</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163</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157</w:t>
            </w:r>
          </w:p>
        </w:tc>
      </w:tr>
      <w:tr w:rsidR="00CA4E34" w:rsidRPr="00CA4E34" w:rsidTr="00CA4E34">
        <w:trPr>
          <w:trHeight w:val="315"/>
        </w:trPr>
        <w:tc>
          <w:tcPr>
            <w:tcW w:w="840" w:type="dxa"/>
            <w:tcBorders>
              <w:top w:val="nil"/>
              <w:left w:val="single" w:sz="4" w:space="0" w:color="7F7F7F"/>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Female</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128</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144</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139</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141</w:t>
            </w:r>
          </w:p>
        </w:tc>
        <w:tc>
          <w:tcPr>
            <w:tcW w:w="72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138</w:t>
            </w:r>
          </w:p>
        </w:tc>
      </w:tr>
    </w:tbl>
    <w:p w:rsidR="00CA4E34" w:rsidRPr="000A11D6" w:rsidRDefault="00CA4E34" w:rsidP="00FD59D8">
      <w:pPr>
        <w:pStyle w:val="ASRHeading3"/>
        <w:outlineLvl w:val="2"/>
      </w:pPr>
    </w:p>
    <w:p w:rsidR="00CA4E34" w:rsidRDefault="00CA4E34" w:rsidP="00FD59D8">
      <w:pPr>
        <w:pStyle w:val="ASRHeading3"/>
        <w:outlineLvl w:val="2"/>
      </w:pPr>
      <w:bookmarkStart w:id="9" w:name="_Toc306703565"/>
      <w:r w:rsidRPr="00CA4E34">
        <w:rPr>
          <w:rFonts w:asciiTheme="minorHAnsi" w:hAnsiTheme="minorHAnsi"/>
          <w:b w:val="0"/>
          <w:bCs w:val="0"/>
          <w:noProof/>
          <w:sz w:val="22"/>
          <w:szCs w:val="22"/>
          <w:lang w:val="en-AU" w:eastAsia="en-AU" w:bidi="ar-SA"/>
        </w:rPr>
        <w:drawing>
          <wp:inline distT="0" distB="0" distL="0" distR="0">
            <wp:extent cx="2816226" cy="2641864"/>
            <wp:effectExtent l="19050" t="0" r="22224" b="6086"/>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365A" w:rsidRDefault="00FD365A" w:rsidP="00FD59D8">
      <w:pPr>
        <w:pStyle w:val="ASRHeading3"/>
        <w:outlineLvl w:val="2"/>
        <w:rPr>
          <w:rFonts w:asciiTheme="minorHAnsi" w:hAnsiTheme="minorHAnsi"/>
          <w:b w:val="0"/>
          <w:sz w:val="22"/>
          <w:szCs w:val="22"/>
        </w:rPr>
      </w:pPr>
      <w:r w:rsidRPr="00FD365A">
        <w:rPr>
          <w:rFonts w:asciiTheme="minorHAnsi" w:hAnsiTheme="minorHAnsi"/>
          <w:b w:val="0"/>
          <w:sz w:val="22"/>
          <w:szCs w:val="22"/>
        </w:rPr>
        <w:t xml:space="preserve">Our enrolments continue to decline with a </w:t>
      </w:r>
      <w:r>
        <w:rPr>
          <w:rFonts w:asciiTheme="minorHAnsi" w:hAnsiTheme="minorHAnsi"/>
          <w:b w:val="0"/>
          <w:sz w:val="22"/>
          <w:szCs w:val="22"/>
        </w:rPr>
        <w:t xml:space="preserve">lower than usual kindergarten enrolment anticipated in 2012. </w:t>
      </w:r>
    </w:p>
    <w:p w:rsidR="0080698A" w:rsidRDefault="0080698A"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5D00B6" w:rsidRDefault="005D00B6" w:rsidP="00FD59D8">
      <w:pPr>
        <w:pStyle w:val="ASRHeading3"/>
        <w:outlineLvl w:val="2"/>
        <w:rPr>
          <w:rFonts w:asciiTheme="minorHAnsi" w:hAnsiTheme="minorHAnsi"/>
          <w:b w:val="0"/>
          <w:sz w:val="22"/>
          <w:szCs w:val="22"/>
        </w:rPr>
      </w:pPr>
    </w:p>
    <w:p w:rsidR="009974E3" w:rsidRPr="000A11D6" w:rsidRDefault="009974E3" w:rsidP="00FD59D8">
      <w:pPr>
        <w:pStyle w:val="ASRHeading3"/>
        <w:outlineLvl w:val="2"/>
      </w:pPr>
      <w:r w:rsidRPr="000A11D6">
        <w:lastRenderedPageBreak/>
        <w:t>Student attendance profile</w:t>
      </w:r>
      <w:bookmarkEnd w:id="9"/>
    </w:p>
    <w:tbl>
      <w:tblPr>
        <w:tblW w:w="4420" w:type="dxa"/>
        <w:tblInd w:w="103" w:type="dxa"/>
        <w:tblLook w:val="04A0"/>
      </w:tblPr>
      <w:tblGrid>
        <w:gridCol w:w="540"/>
        <w:gridCol w:w="840"/>
        <w:gridCol w:w="760"/>
        <w:gridCol w:w="760"/>
        <w:gridCol w:w="760"/>
        <w:gridCol w:w="760"/>
      </w:tblGrid>
      <w:tr w:rsidR="00CA4E34" w:rsidRPr="00CA4E34" w:rsidTr="00CA4E34">
        <w:trPr>
          <w:trHeight w:val="330"/>
        </w:trPr>
        <w:tc>
          <w:tcPr>
            <w:tcW w:w="540"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btLr"/>
            <w:vAlign w:val="center"/>
            <w:hideMark/>
          </w:tcPr>
          <w:p w:rsidR="00CA4E34" w:rsidRPr="00CA4E34" w:rsidRDefault="00CA4E34" w:rsidP="00CA4E34">
            <w:pPr>
              <w:spacing w:after="0" w:line="240" w:lineRule="auto"/>
              <w:jc w:val="center"/>
              <w:rPr>
                <w:rFonts w:ascii="Calibri" w:eastAsia="Times New Roman" w:hAnsi="Calibri" w:cs="Times New Roman"/>
                <w:b/>
                <w:bCs/>
                <w:color w:val="000000"/>
                <w:sz w:val="24"/>
                <w:szCs w:val="24"/>
                <w:lang w:val="en-AU" w:eastAsia="en-AU" w:bidi="ar-SA"/>
              </w:rPr>
            </w:pPr>
            <w:r w:rsidRPr="00CA4E34">
              <w:rPr>
                <w:rFonts w:ascii="Calibri" w:eastAsia="Times New Roman" w:hAnsi="Calibri" w:cs="Times New Roman"/>
                <w:b/>
                <w:bCs/>
                <w:color w:val="000000"/>
                <w:sz w:val="24"/>
                <w:szCs w:val="24"/>
                <w:lang w:val="en-AU" w:eastAsia="en-AU" w:bidi="ar-SA"/>
              </w:rPr>
              <w:t>School</w:t>
            </w:r>
          </w:p>
        </w:tc>
        <w:tc>
          <w:tcPr>
            <w:tcW w:w="84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Year</w:t>
            </w:r>
          </w:p>
        </w:tc>
        <w:tc>
          <w:tcPr>
            <w:tcW w:w="76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2008</w:t>
            </w:r>
          </w:p>
        </w:tc>
        <w:tc>
          <w:tcPr>
            <w:tcW w:w="76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2009</w:t>
            </w:r>
          </w:p>
        </w:tc>
        <w:tc>
          <w:tcPr>
            <w:tcW w:w="76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2010</w:t>
            </w:r>
          </w:p>
        </w:tc>
        <w:tc>
          <w:tcPr>
            <w:tcW w:w="760" w:type="dxa"/>
            <w:tcBorders>
              <w:top w:val="single" w:sz="4" w:space="0" w:color="7F7F7F"/>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2011</w:t>
            </w:r>
          </w:p>
        </w:tc>
      </w:tr>
      <w:tr w:rsidR="00CA4E34" w:rsidRPr="00CA4E34" w:rsidTr="00CA4E34">
        <w:trPr>
          <w:trHeight w:val="300"/>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K</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96.3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95.9</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95.3</w:t>
            </w:r>
          </w:p>
        </w:tc>
      </w:tr>
      <w:tr w:rsidR="00CA4E34" w:rsidRPr="00CA4E34" w:rsidTr="00CA4E34">
        <w:trPr>
          <w:trHeight w:val="315"/>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92.5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95.4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94.1</w:t>
            </w:r>
          </w:p>
        </w:tc>
      </w:tr>
      <w:tr w:rsidR="00CA4E34" w:rsidRPr="00CA4E34" w:rsidTr="00CA4E34">
        <w:trPr>
          <w:trHeight w:val="300"/>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2</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92.5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95.8</w:t>
            </w:r>
          </w:p>
        </w:tc>
      </w:tr>
      <w:tr w:rsidR="00CA4E34" w:rsidRPr="00CA4E34" w:rsidTr="00CA4E34">
        <w:trPr>
          <w:trHeight w:val="300"/>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94.4</w:t>
            </w:r>
          </w:p>
        </w:tc>
      </w:tr>
      <w:tr w:rsidR="00CA4E34" w:rsidRPr="00CA4E34" w:rsidTr="00CA4E34">
        <w:trPr>
          <w:trHeight w:val="300"/>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94.9</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92.3</w:t>
            </w:r>
          </w:p>
        </w:tc>
      </w:tr>
      <w:tr w:rsidR="00CA4E34" w:rsidRPr="00CA4E34" w:rsidTr="00CA4E34">
        <w:trPr>
          <w:trHeight w:val="300"/>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94.8</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95.0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93.7</w:t>
            </w:r>
          </w:p>
        </w:tc>
      </w:tr>
      <w:tr w:rsidR="00CA4E34" w:rsidRPr="00CA4E34" w:rsidTr="00CA4E34">
        <w:trPr>
          <w:trHeight w:val="300"/>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96.1</w:t>
            </w:r>
          </w:p>
        </w:tc>
      </w:tr>
      <w:tr w:rsidR="00CA4E34" w:rsidRPr="00CA4E34" w:rsidTr="00CA4E34">
        <w:trPr>
          <w:trHeight w:val="315"/>
        </w:trPr>
        <w:tc>
          <w:tcPr>
            <w:tcW w:w="540" w:type="dxa"/>
            <w:vMerge/>
            <w:tcBorders>
              <w:top w:val="single" w:sz="4" w:space="0" w:color="7F7F7F"/>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Total</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93.8</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93.9</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94.6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94.6</w:t>
            </w:r>
          </w:p>
        </w:tc>
      </w:tr>
      <w:tr w:rsidR="00CA4E34" w:rsidRPr="00CA4E34" w:rsidTr="00CA4E34">
        <w:trPr>
          <w:trHeight w:val="300"/>
        </w:trPr>
        <w:tc>
          <w:tcPr>
            <w:tcW w:w="540" w:type="dxa"/>
            <w:vMerge w:val="restart"/>
            <w:tcBorders>
              <w:top w:val="nil"/>
              <w:left w:val="single" w:sz="4" w:space="0" w:color="7F7F7F"/>
              <w:bottom w:val="single" w:sz="4" w:space="0" w:color="7F7F7F"/>
              <w:right w:val="single" w:sz="4" w:space="0" w:color="7F7F7F"/>
            </w:tcBorders>
            <w:shd w:val="clear" w:color="auto" w:fill="auto"/>
            <w:noWrap/>
            <w:textDirection w:val="btLr"/>
            <w:vAlign w:val="center"/>
            <w:hideMark/>
          </w:tcPr>
          <w:p w:rsidR="00CA4E34" w:rsidRPr="00CA4E34" w:rsidRDefault="00CA4E34" w:rsidP="00CA4E34">
            <w:pPr>
              <w:spacing w:after="0" w:line="240" w:lineRule="auto"/>
              <w:jc w:val="center"/>
              <w:rPr>
                <w:rFonts w:ascii="Calibri" w:eastAsia="Times New Roman" w:hAnsi="Calibri" w:cs="Times New Roman"/>
                <w:b/>
                <w:bCs/>
                <w:color w:val="000000"/>
                <w:sz w:val="24"/>
                <w:szCs w:val="24"/>
                <w:lang w:val="en-AU" w:eastAsia="en-AU" w:bidi="ar-SA"/>
              </w:rPr>
            </w:pPr>
            <w:r w:rsidRPr="00CA4E34">
              <w:rPr>
                <w:rFonts w:ascii="Calibri" w:eastAsia="Times New Roman" w:hAnsi="Calibri" w:cs="Times New Roman"/>
                <w:b/>
                <w:bCs/>
                <w:color w:val="000000"/>
                <w:sz w:val="24"/>
                <w:szCs w:val="24"/>
                <w:lang w:val="en-AU" w:eastAsia="en-AU" w:bidi="ar-SA"/>
              </w:rPr>
              <w:t>Region</w:t>
            </w: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K</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94.7</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93.9</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93.9</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2</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93.8</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93.9</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93.9</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93.6</w:t>
            </w:r>
          </w:p>
        </w:tc>
      </w:tr>
      <w:tr w:rsidR="00CA4E34" w:rsidRPr="00CA4E34" w:rsidTr="00CA4E34">
        <w:trPr>
          <w:trHeight w:val="33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93.2</w:t>
            </w:r>
          </w:p>
        </w:tc>
      </w:tr>
      <w:tr w:rsidR="00CA4E34" w:rsidRPr="00CA4E34" w:rsidTr="00CA4E34">
        <w:trPr>
          <w:trHeight w:val="33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Total</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93.7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91.5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93.9</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93.9</w:t>
            </w:r>
          </w:p>
        </w:tc>
      </w:tr>
      <w:tr w:rsidR="00CA4E34" w:rsidRPr="00CA4E34" w:rsidTr="00CA4E34">
        <w:trPr>
          <w:trHeight w:val="300"/>
        </w:trPr>
        <w:tc>
          <w:tcPr>
            <w:tcW w:w="540" w:type="dxa"/>
            <w:vMerge w:val="restart"/>
            <w:tcBorders>
              <w:top w:val="nil"/>
              <w:left w:val="single" w:sz="4" w:space="0" w:color="7F7F7F"/>
              <w:bottom w:val="single" w:sz="4" w:space="0" w:color="7F7F7F"/>
              <w:right w:val="single" w:sz="4" w:space="0" w:color="7F7F7F"/>
            </w:tcBorders>
            <w:shd w:val="clear" w:color="auto" w:fill="auto"/>
            <w:noWrap/>
            <w:textDirection w:val="btLr"/>
            <w:vAlign w:val="center"/>
            <w:hideMark/>
          </w:tcPr>
          <w:p w:rsidR="00CA4E34" w:rsidRPr="00CA4E34" w:rsidRDefault="00CA4E34" w:rsidP="00CA4E34">
            <w:pPr>
              <w:spacing w:after="0" w:line="240" w:lineRule="auto"/>
              <w:jc w:val="center"/>
              <w:rPr>
                <w:rFonts w:ascii="Calibri" w:eastAsia="Times New Roman" w:hAnsi="Calibri" w:cs="Times New Roman"/>
                <w:b/>
                <w:bCs/>
                <w:color w:val="000000"/>
                <w:sz w:val="24"/>
                <w:szCs w:val="24"/>
                <w:lang w:val="en-AU" w:eastAsia="en-AU" w:bidi="ar-SA"/>
              </w:rPr>
            </w:pPr>
            <w:r w:rsidRPr="00CA4E34">
              <w:rPr>
                <w:rFonts w:ascii="Calibri" w:eastAsia="Times New Roman" w:hAnsi="Calibri" w:cs="Times New Roman"/>
                <w:b/>
                <w:bCs/>
                <w:color w:val="000000"/>
                <w:sz w:val="24"/>
                <w:szCs w:val="24"/>
                <w:lang w:val="en-AU" w:eastAsia="en-AU" w:bidi="ar-SA"/>
              </w:rPr>
              <w:t>State DEC</w:t>
            </w: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K</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94.7</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1</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93.7</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94.2</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94.2</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2</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94.2</w:t>
            </w:r>
          </w:p>
        </w:tc>
      </w:tr>
      <w:tr w:rsidR="00CA4E34" w:rsidRPr="00CA4E34" w:rsidTr="00CA4E34">
        <w:trPr>
          <w:trHeight w:val="315"/>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3</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94.1</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94.4</w:t>
            </w:r>
          </w:p>
        </w:tc>
      </w:tr>
      <w:tr w:rsidR="00CA4E34" w:rsidRPr="00CA4E34" w:rsidTr="00CA4E34">
        <w:trPr>
          <w:trHeight w:val="315"/>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94.3</w:t>
            </w:r>
          </w:p>
        </w:tc>
      </w:tr>
      <w:tr w:rsidR="00CA4E34" w:rsidRPr="00CA4E34" w:rsidTr="00CA4E34">
        <w:trPr>
          <w:trHeight w:val="315"/>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5</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94.2</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 </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93.6</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94.0</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lang w:val="en-AU" w:eastAsia="en-AU" w:bidi="ar-SA"/>
              </w:rPr>
            </w:pPr>
            <w:r w:rsidRPr="00CA4E34">
              <w:rPr>
                <w:rFonts w:ascii="Calibri" w:eastAsia="Times New Roman" w:hAnsi="Calibri" w:cs="Times New Roman"/>
                <w:color w:val="000000"/>
                <w:lang w:val="en-AU" w:eastAsia="en-AU" w:bidi="ar-SA"/>
              </w:rPr>
              <w:t>93.8</w:t>
            </w:r>
          </w:p>
        </w:tc>
      </w:tr>
      <w:tr w:rsidR="00CA4E34" w:rsidRPr="00CA4E34" w:rsidTr="00CA4E34">
        <w:trPr>
          <w:trHeight w:val="300"/>
        </w:trPr>
        <w:tc>
          <w:tcPr>
            <w:tcW w:w="540" w:type="dxa"/>
            <w:vMerge/>
            <w:tcBorders>
              <w:top w:val="nil"/>
              <w:left w:val="single" w:sz="4" w:space="0" w:color="7F7F7F"/>
              <w:bottom w:val="single" w:sz="4" w:space="0" w:color="7F7F7F"/>
              <w:right w:val="single" w:sz="4" w:space="0" w:color="7F7F7F"/>
            </w:tcBorders>
            <w:vAlign w:val="center"/>
            <w:hideMark/>
          </w:tcPr>
          <w:p w:rsidR="00CA4E34" w:rsidRPr="00CA4E34" w:rsidRDefault="00CA4E34" w:rsidP="00CA4E34">
            <w:pPr>
              <w:spacing w:after="0" w:line="240" w:lineRule="auto"/>
              <w:rPr>
                <w:rFonts w:ascii="Calibri" w:eastAsia="Times New Roman" w:hAnsi="Calibri" w:cs="Times New Roman"/>
                <w:b/>
                <w:bCs/>
                <w:color w:val="000000"/>
                <w:sz w:val="24"/>
                <w:szCs w:val="24"/>
                <w:lang w:val="en-AU" w:eastAsia="en-AU" w:bidi="ar-SA"/>
              </w:rPr>
            </w:pPr>
          </w:p>
        </w:tc>
        <w:tc>
          <w:tcPr>
            <w:tcW w:w="84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Total</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94.1</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92.1</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94.4</w:t>
            </w:r>
          </w:p>
        </w:tc>
        <w:tc>
          <w:tcPr>
            <w:tcW w:w="760" w:type="dxa"/>
            <w:tcBorders>
              <w:top w:val="nil"/>
              <w:left w:val="nil"/>
              <w:bottom w:val="single" w:sz="4" w:space="0" w:color="7F7F7F"/>
              <w:right w:val="single" w:sz="4" w:space="0" w:color="7F7F7F"/>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lang w:val="en-AU" w:eastAsia="en-AU" w:bidi="ar-SA"/>
              </w:rPr>
            </w:pPr>
            <w:r w:rsidRPr="00CA4E34">
              <w:rPr>
                <w:rFonts w:ascii="Calibri" w:eastAsia="Times New Roman" w:hAnsi="Calibri" w:cs="Times New Roman"/>
                <w:b/>
                <w:bCs/>
                <w:color w:val="000000"/>
                <w:lang w:val="en-AU" w:eastAsia="en-AU" w:bidi="ar-SA"/>
              </w:rPr>
              <w:t>94.3</w:t>
            </w:r>
          </w:p>
        </w:tc>
      </w:tr>
    </w:tbl>
    <w:p w:rsidR="00CA4E34" w:rsidRDefault="00CA4E34" w:rsidP="00C572CB">
      <w:pPr>
        <w:pStyle w:val="ASRBodyText"/>
      </w:pPr>
    </w:p>
    <w:p w:rsidR="00CA4E34" w:rsidRDefault="00CA4E34" w:rsidP="00C572CB">
      <w:pPr>
        <w:pStyle w:val="ASRBodyText"/>
      </w:pPr>
      <w:r w:rsidRPr="00CA4E34">
        <w:rPr>
          <w:noProof/>
          <w:lang w:val="en-AU" w:eastAsia="en-AU" w:bidi="ar-SA"/>
        </w:rPr>
        <w:drawing>
          <wp:inline distT="0" distB="0" distL="0" distR="0">
            <wp:extent cx="2835275" cy="2142460"/>
            <wp:effectExtent l="19050" t="0" r="222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4E34" w:rsidRPr="000A11D6" w:rsidRDefault="00FD365A" w:rsidP="00C572CB">
      <w:pPr>
        <w:pStyle w:val="ASRBodyText"/>
      </w:pPr>
      <w:r>
        <w:t xml:space="preserve">Our attendance rate was higher than Regional State average which is most pleasing. </w:t>
      </w:r>
    </w:p>
    <w:p w:rsidR="0080698A" w:rsidRDefault="0080698A" w:rsidP="00FD59D8">
      <w:pPr>
        <w:pStyle w:val="ASRHeading3"/>
        <w:outlineLvl w:val="2"/>
      </w:pPr>
      <w:bookmarkStart w:id="10" w:name="_Toc306703566"/>
    </w:p>
    <w:p w:rsidR="0080698A" w:rsidRDefault="0080698A" w:rsidP="00FD59D8">
      <w:pPr>
        <w:pStyle w:val="ASRHeading3"/>
        <w:outlineLvl w:val="2"/>
      </w:pPr>
    </w:p>
    <w:p w:rsidR="0080698A" w:rsidRDefault="0080698A" w:rsidP="00FD59D8">
      <w:pPr>
        <w:pStyle w:val="ASRHeading3"/>
        <w:outlineLvl w:val="2"/>
      </w:pPr>
    </w:p>
    <w:p w:rsidR="009974E3" w:rsidRPr="000A11D6" w:rsidRDefault="009974E3" w:rsidP="00FD59D8">
      <w:pPr>
        <w:pStyle w:val="ASRHeading3"/>
        <w:outlineLvl w:val="2"/>
      </w:pPr>
      <w:r w:rsidRPr="000A11D6">
        <w:lastRenderedPageBreak/>
        <w:t>Management of non-attendance</w:t>
      </w:r>
      <w:bookmarkEnd w:id="10"/>
    </w:p>
    <w:p w:rsidR="004C3E75" w:rsidRPr="00E618E8" w:rsidRDefault="004C3E75" w:rsidP="004C3E75">
      <w:pPr>
        <w:pStyle w:val="ASRBodyText"/>
        <w:spacing w:before="0"/>
      </w:pPr>
      <w:bookmarkStart w:id="11" w:name="_Toc306703567"/>
      <w:r w:rsidRPr="00C5589F">
        <w:t>The school has an active Attendance Plan which outlines strategies that are to be carried out should a child have significant absences. This also outlines the roles of staff and parents in assisting to improve attendance.</w:t>
      </w:r>
    </w:p>
    <w:p w:rsidR="009974E3" w:rsidRPr="000A11D6" w:rsidRDefault="009974E3" w:rsidP="00FD59D8">
      <w:pPr>
        <w:pStyle w:val="ASRHeading3"/>
        <w:outlineLvl w:val="2"/>
      </w:pPr>
      <w:r w:rsidRPr="000A11D6">
        <w:t>Class sizes</w:t>
      </w:r>
      <w:bookmarkEnd w:id="11"/>
    </w:p>
    <w:p w:rsidR="009974E3" w:rsidRPr="00C572CB" w:rsidRDefault="00CE3CED" w:rsidP="00C572CB">
      <w:pPr>
        <w:pStyle w:val="ASRBodyText"/>
      </w:pPr>
      <w:r>
        <w:t>P</w:t>
      </w:r>
      <w:r w:rsidR="009974E3" w:rsidRPr="00C572CB">
        <w:t xml:space="preserve">rimary class sizes </w:t>
      </w:r>
      <w:r>
        <w:t xml:space="preserve">are included </w:t>
      </w:r>
      <w:r w:rsidR="009974E3" w:rsidRPr="00C572CB">
        <w:t xml:space="preserve">in </w:t>
      </w:r>
      <w:r>
        <w:t xml:space="preserve">the </w:t>
      </w:r>
      <w:r w:rsidR="00B538B1">
        <w:t>annual school report</w:t>
      </w:r>
      <w:r w:rsidR="009974E3" w:rsidRPr="00C572CB">
        <w:t xml:space="preserve"> in order to provide parents with as much local information as possible.</w:t>
      </w:r>
      <w:r w:rsidR="00CE4440">
        <w:t xml:space="preserve"> </w:t>
      </w:r>
      <w:r w:rsidR="009974E3" w:rsidRPr="00C572CB">
        <w:t xml:space="preserve">The following table shows our class sizes as reported at the 2011 </w:t>
      </w:r>
      <w:r w:rsidR="00CE4440">
        <w:t>C</w:t>
      </w:r>
      <w:r w:rsidR="009974E3" w:rsidRPr="00C572CB">
        <w:t xml:space="preserve">lass </w:t>
      </w:r>
      <w:r w:rsidR="00CE4440">
        <w:t>S</w:t>
      </w:r>
      <w:r w:rsidR="009974E3" w:rsidRPr="00C572CB">
        <w:t xml:space="preserve">ize </w:t>
      </w:r>
      <w:r w:rsidR="00CE4440">
        <w:t>A</w:t>
      </w:r>
      <w:r w:rsidR="009974E3" w:rsidRPr="00C572CB">
        <w:t xml:space="preserve">udit conducted </w:t>
      </w:r>
      <w:r w:rsidR="009974E3" w:rsidRPr="00A91D87">
        <w:t xml:space="preserve">on </w:t>
      </w:r>
      <w:r w:rsidRPr="00A91D87">
        <w:t>Monday</w:t>
      </w:r>
      <w:r w:rsidR="009974E3" w:rsidRPr="00A91D87">
        <w:t xml:space="preserve"> </w:t>
      </w:r>
      <w:r w:rsidRPr="00DC012E">
        <w:t>21</w:t>
      </w:r>
      <w:r w:rsidR="009974E3" w:rsidRPr="00DC012E">
        <w:t xml:space="preserve"> March 2011.</w:t>
      </w:r>
    </w:p>
    <w:tbl>
      <w:tblPr>
        <w:tblW w:w="4716" w:type="dxa"/>
        <w:tblInd w:w="-72" w:type="dxa"/>
        <w:tblLook w:val="04A0"/>
      </w:tblPr>
      <w:tblGrid>
        <w:gridCol w:w="938"/>
        <w:gridCol w:w="653"/>
        <w:gridCol w:w="1552"/>
        <w:gridCol w:w="1573"/>
      </w:tblGrid>
      <w:tr w:rsidR="00CA4E34" w:rsidRPr="00CA4E34" w:rsidTr="003C63FA">
        <w:trPr>
          <w:trHeight w:val="315"/>
        </w:trPr>
        <w:tc>
          <w:tcPr>
            <w:tcW w:w="93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sz w:val="20"/>
                <w:szCs w:val="20"/>
                <w:lang w:val="en-AU" w:eastAsia="en-AU" w:bidi="ar-SA"/>
              </w:rPr>
            </w:pPr>
            <w:bookmarkStart w:id="12" w:name="_Toc306703568"/>
            <w:r w:rsidRPr="00CA4E34">
              <w:rPr>
                <w:rFonts w:ascii="Calibri" w:eastAsia="Times New Roman" w:hAnsi="Calibri" w:cs="Times New Roman"/>
                <w:b/>
                <w:bCs/>
                <w:color w:val="000000"/>
                <w:sz w:val="20"/>
                <w:szCs w:val="20"/>
                <w:lang w:val="en-AU" w:eastAsia="en-AU" w:bidi="ar-SA"/>
              </w:rPr>
              <w:t>Roll class</w:t>
            </w:r>
          </w:p>
        </w:tc>
        <w:tc>
          <w:tcPr>
            <w:tcW w:w="65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sz w:val="20"/>
                <w:szCs w:val="20"/>
                <w:lang w:val="en-AU" w:eastAsia="en-AU" w:bidi="ar-SA"/>
              </w:rPr>
            </w:pPr>
            <w:r w:rsidRPr="00CA4E34">
              <w:rPr>
                <w:rFonts w:ascii="Calibri" w:eastAsia="Times New Roman" w:hAnsi="Calibri" w:cs="Times New Roman"/>
                <w:b/>
                <w:bCs/>
                <w:color w:val="000000"/>
                <w:sz w:val="20"/>
                <w:szCs w:val="20"/>
                <w:lang w:val="en-AU" w:eastAsia="en-AU" w:bidi="ar-SA"/>
              </w:rPr>
              <w:t>Year</w:t>
            </w:r>
          </w:p>
        </w:tc>
        <w:tc>
          <w:tcPr>
            <w:tcW w:w="15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sz w:val="20"/>
                <w:szCs w:val="20"/>
                <w:lang w:val="en-AU" w:eastAsia="en-AU" w:bidi="ar-SA"/>
              </w:rPr>
            </w:pPr>
            <w:r w:rsidRPr="00CA4E34">
              <w:rPr>
                <w:rFonts w:ascii="Calibri" w:eastAsia="Times New Roman" w:hAnsi="Calibri" w:cs="Times New Roman"/>
                <w:b/>
                <w:bCs/>
                <w:color w:val="000000"/>
                <w:sz w:val="20"/>
                <w:szCs w:val="20"/>
                <w:lang w:val="en-AU" w:eastAsia="en-AU" w:bidi="ar-SA"/>
              </w:rPr>
              <w:t>Total per year</w:t>
            </w:r>
          </w:p>
        </w:tc>
        <w:tc>
          <w:tcPr>
            <w:tcW w:w="157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A4E34" w:rsidRPr="00CA4E34" w:rsidRDefault="00CA4E34" w:rsidP="00CA4E34">
            <w:pPr>
              <w:spacing w:after="0" w:line="240" w:lineRule="auto"/>
              <w:jc w:val="center"/>
              <w:rPr>
                <w:rFonts w:ascii="Calibri" w:eastAsia="Times New Roman" w:hAnsi="Calibri" w:cs="Times New Roman"/>
                <w:b/>
                <w:bCs/>
                <w:color w:val="000000"/>
                <w:sz w:val="20"/>
                <w:szCs w:val="20"/>
                <w:lang w:val="en-AU" w:eastAsia="en-AU" w:bidi="ar-SA"/>
              </w:rPr>
            </w:pPr>
            <w:r w:rsidRPr="00CA4E34">
              <w:rPr>
                <w:rFonts w:ascii="Calibri" w:eastAsia="Times New Roman" w:hAnsi="Calibri" w:cs="Times New Roman"/>
                <w:b/>
                <w:bCs/>
                <w:color w:val="000000"/>
                <w:sz w:val="20"/>
                <w:szCs w:val="20"/>
                <w:lang w:val="en-AU" w:eastAsia="en-AU" w:bidi="ar-SA"/>
              </w:rPr>
              <w:t>Total In class</w:t>
            </w:r>
          </w:p>
        </w:tc>
      </w:tr>
      <w:tr w:rsidR="00CA4E34" w:rsidRPr="00CA4E34" w:rsidTr="003C63FA">
        <w:trPr>
          <w:trHeight w:val="315"/>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KE</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K</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18</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18</w:t>
            </w:r>
          </w:p>
        </w:tc>
      </w:tr>
      <w:tr w:rsidR="00CA4E34" w:rsidRPr="00CA4E34" w:rsidTr="003C63FA">
        <w:trPr>
          <w:trHeight w:val="33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KJ</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K</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19</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19</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1FM</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22</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22</w:t>
            </w:r>
          </w:p>
        </w:tc>
      </w:tr>
      <w:tr w:rsidR="00CA4E34" w:rsidRPr="00CA4E34" w:rsidTr="003C63FA">
        <w:trPr>
          <w:trHeight w:val="315"/>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1K</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23</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23</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2R</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21</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21</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2T</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24</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24</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3-4B</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9</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29</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3A</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28</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28</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3-4B</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4</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20</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29</w:t>
            </w:r>
          </w:p>
        </w:tc>
      </w:tr>
      <w:tr w:rsidR="00CA4E34" w:rsidRPr="00CA4E34" w:rsidTr="003C63FA">
        <w:trPr>
          <w:trHeight w:val="315"/>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4-5S</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4</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16</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29</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4-5S</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13</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29</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5-6E</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11</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31</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5-6W</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10</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31</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5-6E</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6</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20</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31</w:t>
            </w:r>
          </w:p>
        </w:tc>
      </w:tr>
      <w:tr w:rsidR="00CA4E34" w:rsidRPr="00CA4E34" w:rsidTr="003C63FA">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5-6W</w:t>
            </w:r>
          </w:p>
        </w:tc>
        <w:tc>
          <w:tcPr>
            <w:tcW w:w="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6</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21</w:t>
            </w:r>
          </w:p>
        </w:tc>
        <w:tc>
          <w:tcPr>
            <w:tcW w:w="1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31</w:t>
            </w:r>
          </w:p>
        </w:tc>
      </w:tr>
      <w:tr w:rsidR="00CA4E34" w:rsidRPr="00CA4E34" w:rsidTr="003C63FA">
        <w:trPr>
          <w:trHeight w:val="300"/>
        </w:trPr>
        <w:tc>
          <w:tcPr>
            <w:tcW w:w="938" w:type="dxa"/>
            <w:tcBorders>
              <w:top w:val="single" w:sz="4" w:space="0" w:color="auto"/>
              <w:left w:val="nil"/>
              <w:bottom w:val="nil"/>
              <w:right w:val="nil"/>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 </w:t>
            </w:r>
          </w:p>
        </w:tc>
        <w:tc>
          <w:tcPr>
            <w:tcW w:w="653" w:type="dxa"/>
            <w:tcBorders>
              <w:top w:val="single" w:sz="4" w:space="0" w:color="auto"/>
              <w:left w:val="nil"/>
              <w:bottom w:val="nil"/>
              <w:right w:val="nil"/>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 </w:t>
            </w:r>
          </w:p>
        </w:tc>
        <w:tc>
          <w:tcPr>
            <w:tcW w:w="1552" w:type="dxa"/>
            <w:tcBorders>
              <w:top w:val="single" w:sz="4" w:space="0" w:color="auto"/>
              <w:left w:val="nil"/>
              <w:bottom w:val="nil"/>
              <w:right w:val="nil"/>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 </w:t>
            </w:r>
          </w:p>
        </w:tc>
        <w:tc>
          <w:tcPr>
            <w:tcW w:w="1573" w:type="dxa"/>
            <w:tcBorders>
              <w:top w:val="single" w:sz="4" w:space="0" w:color="auto"/>
              <w:left w:val="nil"/>
              <w:bottom w:val="nil"/>
              <w:right w:val="nil"/>
            </w:tcBorders>
            <w:shd w:val="clear" w:color="000000" w:fill="FFFFFF"/>
            <w:noWrap/>
            <w:vAlign w:val="bottom"/>
            <w:hideMark/>
          </w:tcPr>
          <w:p w:rsidR="00CA4E34" w:rsidRPr="00CA4E34" w:rsidRDefault="00CA4E34" w:rsidP="00CA4E34">
            <w:pPr>
              <w:spacing w:after="0" w:line="240" w:lineRule="auto"/>
              <w:jc w:val="center"/>
              <w:rPr>
                <w:rFonts w:ascii="Calibri" w:eastAsia="Times New Roman" w:hAnsi="Calibri" w:cs="Times New Roman"/>
                <w:color w:val="000000"/>
                <w:sz w:val="20"/>
                <w:szCs w:val="20"/>
                <w:lang w:val="en-AU" w:eastAsia="en-AU" w:bidi="ar-SA"/>
              </w:rPr>
            </w:pPr>
            <w:r w:rsidRPr="00CA4E34">
              <w:rPr>
                <w:rFonts w:ascii="Calibri" w:eastAsia="Times New Roman" w:hAnsi="Calibri" w:cs="Times New Roman"/>
                <w:color w:val="000000"/>
                <w:sz w:val="20"/>
                <w:szCs w:val="20"/>
                <w:lang w:val="en-AU" w:eastAsia="en-AU" w:bidi="ar-SA"/>
              </w:rPr>
              <w:t> </w:t>
            </w:r>
          </w:p>
        </w:tc>
      </w:tr>
    </w:tbl>
    <w:p w:rsidR="009974E3" w:rsidRPr="000A11D6" w:rsidRDefault="009974E3" w:rsidP="00FD59D8">
      <w:pPr>
        <w:pStyle w:val="ASRHeading3"/>
        <w:outlineLvl w:val="2"/>
      </w:pPr>
      <w:r w:rsidRPr="000A11D6">
        <w:t>Structure of classes</w:t>
      </w:r>
      <w:bookmarkEnd w:id="12"/>
    </w:p>
    <w:p w:rsidR="009974E3" w:rsidRPr="000A11D6" w:rsidRDefault="008A4890" w:rsidP="00C572CB">
      <w:pPr>
        <w:pStyle w:val="ASRBodyText"/>
      </w:pPr>
      <w:r>
        <w:t>This year we have three Support Classes, 7 “straight” grade classes and 4 multi grade classes.</w:t>
      </w:r>
    </w:p>
    <w:p w:rsidR="0080698A" w:rsidRDefault="0080698A" w:rsidP="00FD59D8">
      <w:pPr>
        <w:pStyle w:val="ASRHeading2"/>
        <w:outlineLvl w:val="1"/>
      </w:pPr>
      <w:bookmarkStart w:id="13" w:name="_Toc306703573"/>
    </w:p>
    <w:p w:rsidR="0080698A" w:rsidRDefault="0080698A" w:rsidP="00FD59D8">
      <w:pPr>
        <w:pStyle w:val="ASRHeading2"/>
        <w:outlineLvl w:val="1"/>
      </w:pPr>
    </w:p>
    <w:p w:rsidR="0080698A" w:rsidRDefault="0080698A" w:rsidP="00FD59D8">
      <w:pPr>
        <w:pStyle w:val="ASRHeading2"/>
        <w:outlineLvl w:val="1"/>
      </w:pPr>
    </w:p>
    <w:p w:rsidR="0080698A" w:rsidRDefault="0080698A" w:rsidP="00FD59D8">
      <w:pPr>
        <w:pStyle w:val="ASRHeading2"/>
        <w:outlineLvl w:val="1"/>
      </w:pPr>
    </w:p>
    <w:p w:rsidR="0080698A" w:rsidRDefault="0080698A" w:rsidP="00FD59D8">
      <w:pPr>
        <w:pStyle w:val="ASRHeading2"/>
        <w:outlineLvl w:val="1"/>
      </w:pPr>
    </w:p>
    <w:p w:rsidR="0080698A" w:rsidRDefault="0080698A" w:rsidP="00FD59D8">
      <w:pPr>
        <w:pStyle w:val="ASRHeading2"/>
        <w:outlineLvl w:val="1"/>
      </w:pPr>
    </w:p>
    <w:p w:rsidR="009974E3" w:rsidRPr="000A11D6" w:rsidRDefault="009974E3" w:rsidP="00FD59D8">
      <w:pPr>
        <w:pStyle w:val="ASRHeading2"/>
        <w:outlineLvl w:val="1"/>
      </w:pPr>
      <w:r w:rsidRPr="000A11D6">
        <w:lastRenderedPageBreak/>
        <w:t>Staff information</w:t>
      </w:r>
      <w:bookmarkEnd w:id="13"/>
    </w:p>
    <w:p w:rsidR="003C63FA" w:rsidRDefault="009974E3" w:rsidP="003C63FA">
      <w:pPr>
        <w:pStyle w:val="ASRBodyText"/>
      </w:pPr>
      <w:r w:rsidRPr="000A11D6">
        <w:t>It is a requirement that the reporting of information for all staff must be consistent with privacy and personal information policies</w:t>
      </w:r>
      <w:r w:rsidR="00DF241E">
        <w:t>.</w:t>
      </w:r>
      <w:bookmarkStart w:id="14" w:name="_Toc306703574"/>
    </w:p>
    <w:p w:rsidR="009974E3" w:rsidRDefault="009974E3" w:rsidP="00FD59D8">
      <w:pPr>
        <w:pStyle w:val="ASRHeading3"/>
        <w:outlineLvl w:val="2"/>
      </w:pPr>
      <w:r w:rsidRPr="000A11D6">
        <w:t>Staff establishment</w:t>
      </w:r>
      <w:bookmarkEnd w:id="14"/>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3706"/>
        <w:gridCol w:w="975"/>
      </w:tblGrid>
      <w:tr w:rsidR="004C3E75" w:rsidRPr="004C3E75" w:rsidTr="003C63FA">
        <w:tc>
          <w:tcPr>
            <w:tcW w:w="3706" w:type="dxa"/>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Cs/>
                <w:iCs/>
                <w:color w:val="000000"/>
                <w:sz w:val="20"/>
                <w:szCs w:val="16"/>
                <w:lang w:eastAsia="en-AU"/>
              </w:rPr>
              <w:t>Position</w:t>
            </w:r>
          </w:p>
        </w:tc>
        <w:tc>
          <w:tcPr>
            <w:tcW w:w="975" w:type="dxa"/>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Cs/>
                <w:iCs/>
                <w:color w:val="000000"/>
                <w:sz w:val="20"/>
                <w:szCs w:val="16"/>
                <w:lang w:eastAsia="en-AU"/>
              </w:rPr>
              <w:t>Number</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Principal</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1</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Assistant Principal(s)</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4</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Head Teachers/ District Guidance Officer</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1</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Classroom Teachers</w:t>
            </w:r>
          </w:p>
        </w:tc>
        <w:tc>
          <w:tcPr>
            <w:tcW w:w="975" w:type="dxa"/>
            <w:shd w:val="clear" w:color="auto" w:fill="FFFFFF"/>
          </w:tcPr>
          <w:p w:rsidR="004C3E75" w:rsidRPr="004C3E75" w:rsidRDefault="003C63FA" w:rsidP="004C3E75">
            <w:pPr>
              <w:tabs>
                <w:tab w:val="decimal" w:pos="298"/>
              </w:tabs>
              <w:spacing w:after="0" w:line="240" w:lineRule="auto"/>
              <w:rPr>
                <w:rFonts w:ascii="Calibri" w:eastAsia="Times New Roman" w:hAnsi="Calibri" w:cs="Times New Roman"/>
                <w:iCs/>
                <w:color w:val="000000"/>
                <w:sz w:val="20"/>
                <w:szCs w:val="16"/>
                <w:lang w:eastAsia="en-AU"/>
              </w:rPr>
            </w:pPr>
            <w:r>
              <w:rPr>
                <w:rFonts w:ascii="Calibri" w:eastAsia="Times New Roman" w:hAnsi="Calibri" w:cs="Times New Roman"/>
                <w:iCs/>
                <w:color w:val="000000"/>
                <w:sz w:val="20"/>
                <w:szCs w:val="16"/>
                <w:lang w:eastAsia="en-AU"/>
              </w:rPr>
              <w:t>8</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Teacher of Physical Disabilities</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1</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Teacher of Mild Intellectual Disabilities</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1</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Teacher of Reading Recovery</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.4</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Support Teacher Learning Assistance</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.6</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Teacher Librarian</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w:t>
            </w:r>
            <w:r>
              <w:rPr>
                <w:rFonts w:ascii="Calibri" w:eastAsia="Times New Roman" w:hAnsi="Calibri" w:cs="Times New Roman"/>
                <w:iCs/>
                <w:color w:val="000000"/>
                <w:sz w:val="20"/>
                <w:szCs w:val="16"/>
                <w:lang w:eastAsia="en-AU"/>
              </w:rPr>
              <w:t>6</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Teacher of ESL</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.2</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Counsellor</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1</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School Administrative &amp; Support Staff</w:t>
            </w:r>
          </w:p>
        </w:tc>
        <w:tc>
          <w:tcPr>
            <w:tcW w:w="975" w:type="dxa"/>
            <w:shd w:val="clear" w:color="auto" w:fill="FFFFFF"/>
          </w:tcPr>
          <w:p w:rsidR="004C3E75" w:rsidRPr="004C3E75" w:rsidRDefault="004C3E75" w:rsidP="004C3E75">
            <w:pPr>
              <w:tabs>
                <w:tab w:val="decimal" w:pos="298"/>
              </w:tabs>
              <w:spacing w:after="0" w:line="240" w:lineRule="auto"/>
              <w:rPr>
                <w:rFonts w:ascii="Calibri" w:eastAsia="Times New Roman" w:hAnsi="Calibri" w:cs="Times New Roman"/>
                <w:iCs/>
                <w:color w:val="000000"/>
                <w:sz w:val="20"/>
                <w:szCs w:val="16"/>
                <w:lang w:eastAsia="en-AU"/>
              </w:rPr>
            </w:pPr>
            <w:r w:rsidRPr="004C3E75">
              <w:rPr>
                <w:rFonts w:ascii="Calibri" w:eastAsia="Times New Roman" w:hAnsi="Calibri" w:cs="Times New Roman"/>
                <w:iCs/>
                <w:color w:val="000000"/>
                <w:sz w:val="20"/>
                <w:szCs w:val="16"/>
                <w:lang w:eastAsia="en-AU"/>
              </w:rPr>
              <w:t>5.2</w:t>
            </w:r>
          </w:p>
        </w:tc>
      </w:tr>
      <w:tr w:rsidR="004C3E75" w:rsidRPr="004C3E75" w:rsidTr="003C63FA">
        <w:tc>
          <w:tcPr>
            <w:tcW w:w="3706" w:type="dxa"/>
            <w:shd w:val="clear" w:color="auto" w:fill="FFFFFF"/>
          </w:tcPr>
          <w:p w:rsidR="004C3E75" w:rsidRPr="004C3E75" w:rsidRDefault="004C3E75" w:rsidP="004C3E75">
            <w:pPr>
              <w:spacing w:after="0" w:line="240" w:lineRule="auto"/>
              <w:rPr>
                <w:rFonts w:ascii="Calibri" w:eastAsia="Times New Roman" w:hAnsi="Calibri" w:cs="Times New Roman"/>
                <w:b/>
                <w:bCs/>
                <w:iCs/>
                <w:color w:val="000000"/>
                <w:sz w:val="20"/>
                <w:szCs w:val="16"/>
                <w:lang w:eastAsia="en-AU"/>
              </w:rPr>
            </w:pPr>
            <w:r w:rsidRPr="004C3E75">
              <w:rPr>
                <w:rFonts w:ascii="Calibri" w:eastAsia="Times New Roman" w:hAnsi="Calibri" w:cs="Times New Roman"/>
                <w:b/>
                <w:bCs/>
                <w:iCs/>
                <w:color w:val="000000"/>
                <w:sz w:val="20"/>
                <w:szCs w:val="16"/>
                <w:lang w:eastAsia="en-AU"/>
              </w:rPr>
              <w:t>Total</w:t>
            </w:r>
          </w:p>
        </w:tc>
        <w:tc>
          <w:tcPr>
            <w:tcW w:w="975" w:type="dxa"/>
            <w:shd w:val="clear" w:color="auto" w:fill="FFFFFF"/>
          </w:tcPr>
          <w:p w:rsidR="004C3E75" w:rsidRPr="004C3E75" w:rsidRDefault="0080698A" w:rsidP="004C3E75">
            <w:pPr>
              <w:tabs>
                <w:tab w:val="decimal" w:pos="298"/>
              </w:tabs>
              <w:spacing w:after="0" w:line="240" w:lineRule="auto"/>
              <w:rPr>
                <w:rFonts w:ascii="Calibri" w:eastAsia="Times New Roman" w:hAnsi="Calibri" w:cs="Times New Roman"/>
                <w:iCs/>
                <w:color w:val="000000"/>
                <w:sz w:val="20"/>
                <w:szCs w:val="16"/>
                <w:lang w:eastAsia="en-AU"/>
              </w:rPr>
            </w:pPr>
            <w:r>
              <w:rPr>
                <w:rFonts w:ascii="Calibri" w:eastAsia="Times New Roman" w:hAnsi="Calibri" w:cs="Times New Roman"/>
                <w:iCs/>
                <w:color w:val="000000"/>
                <w:sz w:val="20"/>
                <w:szCs w:val="16"/>
                <w:lang w:eastAsia="en-AU"/>
              </w:rPr>
              <w:t>24</w:t>
            </w:r>
          </w:p>
        </w:tc>
      </w:tr>
    </w:tbl>
    <w:p w:rsidR="009974E3" w:rsidRPr="000A11D6" w:rsidRDefault="009974E3" w:rsidP="00C572CB">
      <w:pPr>
        <w:pStyle w:val="ASRBodyText"/>
      </w:pPr>
      <w:r w:rsidRPr="000A11D6">
        <w:t>The National Education Agreement requires schools to report on Indigenous composition of their workforce.</w:t>
      </w:r>
    </w:p>
    <w:p w:rsidR="009974E3" w:rsidRPr="000A11D6" w:rsidRDefault="00C4230E" w:rsidP="00C572CB">
      <w:pPr>
        <w:pStyle w:val="ASRBodyText"/>
      </w:pPr>
      <w:r>
        <w:t>[</w:t>
      </w:r>
      <w:r w:rsidR="009974E3" w:rsidRPr="000A11D6">
        <w:t>Enter a statement describing the Indigenous composition of the school workforce. Principals are strongly advised to refer to the Support Document for further information.</w:t>
      </w:r>
      <w:r>
        <w:t>]</w:t>
      </w:r>
    </w:p>
    <w:p w:rsidR="009974E3" w:rsidRPr="000A11D6" w:rsidRDefault="009974E3" w:rsidP="00FD59D8">
      <w:pPr>
        <w:pStyle w:val="ASRHeading3"/>
        <w:outlineLvl w:val="2"/>
      </w:pPr>
      <w:bookmarkStart w:id="15" w:name="_Toc306703575"/>
      <w:r w:rsidRPr="000A11D6">
        <w:t>Staff retention</w:t>
      </w:r>
      <w:bookmarkEnd w:id="15"/>
    </w:p>
    <w:p w:rsidR="009974E3" w:rsidRPr="00C7755E" w:rsidRDefault="004C3E75" w:rsidP="00C572CB">
      <w:pPr>
        <w:pStyle w:val="ASRBodyText"/>
      </w:pPr>
      <w:r>
        <w:t>One teacher has received a transfer to another school.</w:t>
      </w:r>
    </w:p>
    <w:p w:rsidR="009974E3" w:rsidRPr="000A11D6" w:rsidRDefault="009974E3" w:rsidP="00FD59D8">
      <w:pPr>
        <w:pStyle w:val="ASRHeading3"/>
        <w:outlineLvl w:val="2"/>
      </w:pPr>
      <w:bookmarkStart w:id="16" w:name="_Toc306703576"/>
      <w:r w:rsidRPr="000A11D6">
        <w:t>Teacher qualifications</w:t>
      </w:r>
      <w:bookmarkEnd w:id="16"/>
    </w:p>
    <w:p w:rsidR="009974E3" w:rsidRPr="000A11D6" w:rsidRDefault="009974E3" w:rsidP="00C572CB">
      <w:pPr>
        <w:pStyle w:val="ASRBodyText"/>
      </w:pPr>
      <w:r w:rsidRPr="000A11D6">
        <w:t xml:space="preserve">All teaching staff </w:t>
      </w:r>
      <w:proofErr w:type="gramStart"/>
      <w:r w:rsidRPr="000A11D6">
        <w:t>meet</w:t>
      </w:r>
      <w:proofErr w:type="gramEnd"/>
      <w:r w:rsidRPr="000A11D6">
        <w:t xml:space="preserve"> the professional requirements for teaching in NSW public schools.</w:t>
      </w:r>
    </w:p>
    <w:p w:rsidR="009974E3" w:rsidRPr="000A11D6" w:rsidRDefault="00C4230E" w:rsidP="00C572CB">
      <w:pPr>
        <w:pStyle w:val="ASRBodyText"/>
      </w:pPr>
      <w:r>
        <w:t>[</w:t>
      </w:r>
      <w:r w:rsidR="006E39F6">
        <w:t>Enter text here.</w:t>
      </w:r>
      <w:r>
        <w:t>]</w:t>
      </w:r>
    </w:p>
    <w:tbl>
      <w:tblPr>
        <w:tblStyle w:val="LightList-Accent21"/>
        <w:tblW w:w="4681" w:type="dxa"/>
        <w:tblLook w:val="00A0"/>
      </w:tblPr>
      <w:tblGrid>
        <w:gridCol w:w="2376"/>
        <w:gridCol w:w="2305"/>
      </w:tblGrid>
      <w:tr w:rsidR="009974E3" w:rsidRPr="000A11D6" w:rsidTr="00640740">
        <w:trPr>
          <w:cnfStyle w:val="100000000000"/>
          <w:trHeight w:hRule="exact" w:val="284"/>
        </w:trPr>
        <w:tc>
          <w:tcPr>
            <w:cnfStyle w:val="001000000000"/>
            <w:tcW w:w="2376" w:type="dxa"/>
          </w:tcPr>
          <w:p w:rsidR="009974E3" w:rsidRPr="00C572CB" w:rsidRDefault="009974E3" w:rsidP="00C572CB">
            <w:pPr>
              <w:pStyle w:val="ASRTableText"/>
            </w:pPr>
            <w:r w:rsidRPr="00C572CB">
              <w:t>Qualifications</w:t>
            </w:r>
          </w:p>
        </w:tc>
        <w:tc>
          <w:tcPr>
            <w:cnfStyle w:val="000010000000"/>
            <w:tcW w:w="2305" w:type="dxa"/>
          </w:tcPr>
          <w:p w:rsidR="009974E3" w:rsidRPr="00C572CB" w:rsidRDefault="009974E3" w:rsidP="004351B0">
            <w:pPr>
              <w:pStyle w:val="ASRTableText"/>
              <w:jc w:val="center"/>
            </w:pPr>
            <w:r w:rsidRPr="00C572CB">
              <w:t>% of staff</w:t>
            </w:r>
          </w:p>
        </w:tc>
      </w:tr>
      <w:tr w:rsidR="009974E3" w:rsidRPr="000A11D6" w:rsidTr="00640740">
        <w:trPr>
          <w:cnfStyle w:val="000000100000"/>
          <w:trHeight w:hRule="exact" w:val="284"/>
        </w:trPr>
        <w:tc>
          <w:tcPr>
            <w:cnfStyle w:val="001000000000"/>
            <w:tcW w:w="2376" w:type="dxa"/>
          </w:tcPr>
          <w:p w:rsidR="009974E3" w:rsidRPr="000A11D6" w:rsidRDefault="009974E3" w:rsidP="00C572CB">
            <w:pPr>
              <w:pStyle w:val="ASRTableText"/>
            </w:pPr>
            <w:r w:rsidRPr="000A11D6">
              <w:t>Degree or Diploma</w:t>
            </w:r>
          </w:p>
        </w:tc>
        <w:tc>
          <w:tcPr>
            <w:cnfStyle w:val="000010000000"/>
            <w:tcW w:w="2305" w:type="dxa"/>
          </w:tcPr>
          <w:p w:rsidR="009974E3" w:rsidRPr="000A11D6" w:rsidRDefault="00FD365A" w:rsidP="00C572CB">
            <w:pPr>
              <w:pStyle w:val="ASRTableText"/>
            </w:pPr>
            <w:r>
              <w:t>100</w:t>
            </w:r>
          </w:p>
        </w:tc>
      </w:tr>
      <w:tr w:rsidR="009974E3" w:rsidRPr="000A11D6" w:rsidTr="00640740">
        <w:trPr>
          <w:trHeight w:hRule="exact" w:val="284"/>
        </w:trPr>
        <w:tc>
          <w:tcPr>
            <w:cnfStyle w:val="001000000000"/>
            <w:tcW w:w="2376" w:type="dxa"/>
          </w:tcPr>
          <w:p w:rsidR="009974E3" w:rsidRPr="000A11D6" w:rsidRDefault="009974E3" w:rsidP="00C572CB">
            <w:pPr>
              <w:pStyle w:val="ASRTableText"/>
            </w:pPr>
            <w:r w:rsidRPr="000A11D6">
              <w:t>Postgraduate</w:t>
            </w:r>
          </w:p>
        </w:tc>
        <w:tc>
          <w:tcPr>
            <w:cnfStyle w:val="000010000000"/>
            <w:tcW w:w="2305" w:type="dxa"/>
          </w:tcPr>
          <w:p w:rsidR="009974E3" w:rsidRPr="000A11D6" w:rsidRDefault="00570CB0" w:rsidP="00C572CB">
            <w:pPr>
              <w:pStyle w:val="ASRTableText"/>
            </w:pPr>
            <w:r>
              <w:t>20</w:t>
            </w:r>
          </w:p>
        </w:tc>
      </w:tr>
    </w:tbl>
    <w:p w:rsidR="0080698A" w:rsidRDefault="0080698A" w:rsidP="00FD59D8">
      <w:pPr>
        <w:pStyle w:val="ASRHeading2"/>
        <w:outlineLvl w:val="1"/>
      </w:pPr>
      <w:bookmarkStart w:id="17" w:name="_Toc306703577"/>
    </w:p>
    <w:p w:rsidR="0080698A" w:rsidRDefault="0080698A" w:rsidP="00FD59D8">
      <w:pPr>
        <w:pStyle w:val="ASRHeading2"/>
        <w:outlineLvl w:val="1"/>
      </w:pPr>
    </w:p>
    <w:p w:rsidR="0080698A" w:rsidRDefault="0080698A" w:rsidP="00FD59D8">
      <w:pPr>
        <w:pStyle w:val="ASRHeading2"/>
        <w:outlineLvl w:val="1"/>
      </w:pPr>
    </w:p>
    <w:p w:rsidR="0080698A" w:rsidRDefault="0080698A" w:rsidP="00FD59D8">
      <w:pPr>
        <w:pStyle w:val="ASRHeading2"/>
        <w:outlineLvl w:val="1"/>
      </w:pPr>
    </w:p>
    <w:p w:rsidR="0080698A" w:rsidRDefault="0080698A" w:rsidP="00FD59D8">
      <w:pPr>
        <w:pStyle w:val="ASRHeading2"/>
        <w:outlineLvl w:val="1"/>
      </w:pPr>
    </w:p>
    <w:p w:rsidR="009974E3" w:rsidRPr="000A11D6" w:rsidRDefault="009974E3" w:rsidP="00FD59D8">
      <w:pPr>
        <w:pStyle w:val="ASRHeading2"/>
        <w:outlineLvl w:val="1"/>
      </w:pPr>
      <w:r w:rsidRPr="000A11D6">
        <w:lastRenderedPageBreak/>
        <w:t>Financial summary</w:t>
      </w:r>
      <w:bookmarkEnd w:id="17"/>
    </w:p>
    <w:p w:rsidR="009974E3" w:rsidRPr="00FB3071" w:rsidRDefault="009974E3" w:rsidP="00FB3071">
      <w:pPr>
        <w:pStyle w:val="ASRBodyText"/>
      </w:pPr>
      <w:r w:rsidRPr="00FB3071">
        <w:t>This summary covers funds for operating costs and does not involve expenditure areas such as permanent salaries, building and major</w:t>
      </w:r>
      <w:r w:rsidR="005D00B6">
        <w:t xml:space="preserve"> </w:t>
      </w:r>
      <w:r w:rsidRPr="00FB3071">
        <w:t xml:space="preserve"> maintenance.</w:t>
      </w:r>
    </w:p>
    <w:p w:rsidR="009974E3" w:rsidRPr="000A11D6" w:rsidRDefault="009974E3" w:rsidP="004351B0">
      <w:pPr>
        <w:pStyle w:val="ASRBodyText"/>
      </w:pPr>
      <w:r w:rsidRPr="000A11D6">
        <w:t>A full copy of the school’s 2011 financial statement is tabled at the annual general meetings of the parent body. Further details concerning the statement can be obtained by contacting the school.</w:t>
      </w:r>
    </w:p>
    <w:tbl>
      <w:tblPr>
        <w:tblpPr w:leftFromText="180" w:rightFromText="180" w:vertAnchor="text" w:horzAnchor="margin" w:tblpXSpec="right" w:tblpY="339"/>
        <w:tblW w:w="4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1416"/>
      </w:tblGrid>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60"/>
              <w:rPr>
                <w:rFonts w:ascii="Arial" w:eastAsia="Times New Roman" w:hAnsi="Arial" w:cs="Arial"/>
                <w:sz w:val="16"/>
                <w:szCs w:val="16"/>
                <w:lang w:val="en-AU" w:eastAsia="en-AU" w:bidi="ar-SA"/>
              </w:rPr>
            </w:pPr>
            <w:bookmarkStart w:id="18" w:name="_Toc306703578"/>
            <w:r w:rsidRPr="007B1046">
              <w:rPr>
                <w:rFonts w:ascii="Arial" w:eastAsia="Times New Roman" w:hAnsi="Arial" w:cs="Arial"/>
                <w:sz w:val="16"/>
                <w:szCs w:val="16"/>
                <w:lang w:val="en-AU" w:eastAsia="en-AU" w:bidi="ar-SA"/>
              </w:rPr>
              <w:t>Date of financial summary:</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6"/>
                <w:szCs w:val="16"/>
                <w:lang w:val="en-AU" w:eastAsia="en-AU" w:bidi="ar-SA"/>
              </w:rPr>
            </w:pPr>
            <w:r w:rsidRPr="007B1046">
              <w:rPr>
                <w:rFonts w:ascii="Arial" w:eastAsia="Times New Roman" w:hAnsi="Arial" w:cs="Arial"/>
                <w:sz w:val="16"/>
                <w:szCs w:val="16"/>
                <w:lang w:val="en-AU" w:eastAsia="en-AU" w:bidi="ar-SA"/>
              </w:rPr>
              <w:t>30/11/20</w:t>
            </w:r>
            <w:r>
              <w:rPr>
                <w:rFonts w:ascii="Arial" w:eastAsia="Times New Roman" w:hAnsi="Arial" w:cs="Arial"/>
                <w:sz w:val="16"/>
                <w:szCs w:val="16"/>
                <w:lang w:val="en-AU" w:eastAsia="en-AU" w:bidi="ar-SA"/>
              </w:rPr>
              <w:t>11</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201"/>
              <w:rPr>
                <w:rFonts w:ascii="Arial" w:eastAsia="Times New Roman" w:hAnsi="Arial" w:cs="Arial"/>
                <w:b/>
                <w:bCs/>
                <w:i/>
                <w:iCs/>
                <w:sz w:val="20"/>
                <w:szCs w:val="20"/>
                <w:lang w:val="en-AU" w:eastAsia="en-AU" w:bidi="ar-SA"/>
              </w:rPr>
            </w:pPr>
            <w:r w:rsidRPr="007B1046">
              <w:rPr>
                <w:rFonts w:ascii="Arial" w:eastAsia="Times New Roman" w:hAnsi="Arial" w:cs="Arial"/>
                <w:b/>
                <w:bCs/>
                <w:i/>
                <w:iCs/>
                <w:sz w:val="20"/>
                <w:szCs w:val="20"/>
                <w:lang w:val="en-AU" w:eastAsia="en-AU" w:bidi="ar-SA"/>
              </w:rPr>
              <w:t>Income</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b/>
                <w:bCs/>
                <w:sz w:val="20"/>
                <w:szCs w:val="20"/>
                <w:lang w:val="en-AU" w:eastAsia="en-AU" w:bidi="ar-SA"/>
              </w:rPr>
            </w:pPr>
            <w:r w:rsidRPr="007B1046">
              <w:rPr>
                <w:rFonts w:ascii="Arial" w:eastAsia="Times New Roman" w:hAnsi="Arial" w:cs="Arial"/>
                <w:b/>
                <w:bCs/>
                <w:sz w:val="20"/>
                <w:szCs w:val="20"/>
                <w:lang w:val="en-AU" w:eastAsia="en-AU" w:bidi="ar-SA"/>
              </w:rPr>
              <w:t xml:space="preserve">$  </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Balance brought forward</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201 556.68</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Global funds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193 523.47</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Tied funds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125 569.58</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School &amp; community sources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73 321.94</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Interest</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12 299.77</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Trust receipts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6 243.40</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Canteen</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 xml:space="preserve">  0.00</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i/>
                <w:iCs/>
                <w:sz w:val="18"/>
                <w:szCs w:val="18"/>
                <w:lang w:val="en-AU" w:eastAsia="en-AU" w:bidi="ar-SA"/>
              </w:rPr>
            </w:pPr>
            <w:r w:rsidRPr="007B1046">
              <w:rPr>
                <w:rFonts w:ascii="Arial" w:eastAsia="Times New Roman" w:hAnsi="Arial" w:cs="Arial"/>
                <w:i/>
                <w:iCs/>
                <w:sz w:val="18"/>
                <w:szCs w:val="18"/>
                <w:lang w:val="en-AU" w:eastAsia="en-AU" w:bidi="ar-SA"/>
              </w:rPr>
              <w:t>Total income</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i/>
                <w:iCs/>
                <w:sz w:val="18"/>
                <w:szCs w:val="18"/>
                <w:lang w:val="en-AU" w:eastAsia="en-AU" w:bidi="ar-SA"/>
              </w:rPr>
            </w:pPr>
            <w:r>
              <w:rPr>
                <w:rFonts w:ascii="Arial" w:eastAsia="Times New Roman" w:hAnsi="Arial" w:cs="Arial"/>
                <w:i/>
                <w:iCs/>
                <w:sz w:val="18"/>
                <w:szCs w:val="18"/>
                <w:lang w:val="en-AU" w:eastAsia="en-AU" w:bidi="ar-SA"/>
              </w:rPr>
              <w:t>612 514.84</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p>
        </w:tc>
        <w:tc>
          <w:tcPr>
            <w:tcW w:w="1416" w:type="dxa"/>
            <w:shd w:val="clear" w:color="auto" w:fill="auto"/>
            <w:noWrap/>
            <w:vAlign w:val="bottom"/>
            <w:hideMark/>
          </w:tcPr>
          <w:p w:rsidR="005D00B6" w:rsidRPr="007B1046" w:rsidRDefault="005D00B6" w:rsidP="005D00B6">
            <w:pPr>
              <w:spacing w:after="0" w:line="240" w:lineRule="auto"/>
              <w:rPr>
                <w:rFonts w:ascii="Arial" w:eastAsia="Times New Roman" w:hAnsi="Arial" w:cs="Arial"/>
                <w:sz w:val="18"/>
                <w:szCs w:val="18"/>
                <w:lang w:val="en-AU" w:eastAsia="en-AU" w:bidi="ar-SA"/>
              </w:rPr>
            </w:pP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201"/>
              <w:rPr>
                <w:rFonts w:ascii="Arial" w:eastAsia="Times New Roman" w:hAnsi="Arial" w:cs="Arial"/>
                <w:b/>
                <w:bCs/>
                <w:i/>
                <w:iCs/>
                <w:sz w:val="20"/>
                <w:szCs w:val="20"/>
                <w:lang w:val="en-AU" w:eastAsia="en-AU" w:bidi="ar-SA"/>
              </w:rPr>
            </w:pPr>
            <w:r w:rsidRPr="007B1046">
              <w:rPr>
                <w:rFonts w:ascii="Arial" w:eastAsia="Times New Roman" w:hAnsi="Arial" w:cs="Arial"/>
                <w:b/>
                <w:bCs/>
                <w:i/>
                <w:iCs/>
                <w:sz w:val="20"/>
                <w:szCs w:val="20"/>
                <w:lang w:val="en-AU" w:eastAsia="en-AU" w:bidi="ar-SA"/>
              </w:rPr>
              <w:t>Expenditure</w:t>
            </w:r>
          </w:p>
        </w:tc>
        <w:tc>
          <w:tcPr>
            <w:tcW w:w="1416" w:type="dxa"/>
            <w:shd w:val="clear" w:color="auto" w:fill="auto"/>
            <w:noWrap/>
            <w:vAlign w:val="bottom"/>
            <w:hideMark/>
          </w:tcPr>
          <w:p w:rsidR="005D00B6" w:rsidRPr="007B1046" w:rsidRDefault="005D00B6" w:rsidP="005D00B6">
            <w:pPr>
              <w:spacing w:after="0" w:line="240" w:lineRule="auto"/>
              <w:rPr>
                <w:rFonts w:ascii="Arial" w:eastAsia="Times New Roman" w:hAnsi="Arial" w:cs="Arial"/>
                <w:sz w:val="18"/>
                <w:szCs w:val="18"/>
                <w:lang w:val="en-AU" w:eastAsia="en-AU" w:bidi="ar-SA"/>
              </w:rPr>
            </w:pP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Teaching &amp; learning</w:t>
            </w:r>
          </w:p>
        </w:tc>
        <w:tc>
          <w:tcPr>
            <w:tcW w:w="1416" w:type="dxa"/>
            <w:shd w:val="clear" w:color="auto" w:fill="auto"/>
            <w:noWrap/>
            <w:vAlign w:val="bottom"/>
            <w:hideMark/>
          </w:tcPr>
          <w:p w:rsidR="005D00B6" w:rsidRPr="007B1046" w:rsidRDefault="005D00B6" w:rsidP="005D00B6">
            <w:pPr>
              <w:spacing w:after="0" w:line="240" w:lineRule="auto"/>
              <w:rPr>
                <w:rFonts w:ascii="Arial" w:eastAsia="Times New Roman" w:hAnsi="Arial" w:cs="Arial"/>
                <w:sz w:val="18"/>
                <w:szCs w:val="18"/>
                <w:lang w:val="en-AU" w:eastAsia="en-AU" w:bidi="ar-SA"/>
              </w:rPr>
            </w:pP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60"/>
              <w:rPr>
                <w:rFonts w:ascii="Arial" w:eastAsia="Times New Roman" w:hAnsi="Arial" w:cs="Arial"/>
                <w:sz w:val="16"/>
                <w:szCs w:val="16"/>
                <w:lang w:val="en-AU" w:eastAsia="en-AU" w:bidi="ar-SA"/>
              </w:rPr>
            </w:pPr>
            <w:r w:rsidRPr="007B1046">
              <w:rPr>
                <w:rFonts w:ascii="Arial" w:eastAsia="Times New Roman" w:hAnsi="Arial" w:cs="Arial"/>
                <w:sz w:val="16"/>
                <w:szCs w:val="16"/>
                <w:lang w:val="en-AU" w:eastAsia="en-AU" w:bidi="ar-SA"/>
              </w:rPr>
              <w:t xml:space="preserve">           Key learning areas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33 252.50</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60"/>
              <w:rPr>
                <w:rFonts w:ascii="Arial" w:eastAsia="Times New Roman" w:hAnsi="Arial" w:cs="Arial"/>
                <w:sz w:val="16"/>
                <w:szCs w:val="16"/>
                <w:lang w:val="en-AU" w:eastAsia="en-AU" w:bidi="ar-SA"/>
              </w:rPr>
            </w:pPr>
            <w:r w:rsidRPr="007B1046">
              <w:rPr>
                <w:rFonts w:ascii="Arial" w:eastAsia="Times New Roman" w:hAnsi="Arial" w:cs="Arial"/>
                <w:sz w:val="16"/>
                <w:szCs w:val="16"/>
                <w:lang w:val="en-AU" w:eastAsia="en-AU" w:bidi="ar-SA"/>
              </w:rPr>
              <w:t xml:space="preserve">           Excursions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27 108.71</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60"/>
              <w:rPr>
                <w:rFonts w:ascii="Arial" w:eastAsia="Times New Roman" w:hAnsi="Arial" w:cs="Arial"/>
                <w:sz w:val="16"/>
                <w:szCs w:val="16"/>
                <w:lang w:val="en-AU" w:eastAsia="en-AU" w:bidi="ar-SA"/>
              </w:rPr>
            </w:pPr>
            <w:r w:rsidRPr="007B1046">
              <w:rPr>
                <w:rFonts w:ascii="Arial" w:eastAsia="Times New Roman" w:hAnsi="Arial" w:cs="Arial"/>
                <w:sz w:val="16"/>
                <w:szCs w:val="16"/>
                <w:lang w:val="en-AU" w:eastAsia="en-AU" w:bidi="ar-SA"/>
              </w:rPr>
              <w:t xml:space="preserve">           Extracurricular dissections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21 301.23</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Library</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6 705.19</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Training &amp; development</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857.65</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Tied funds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130 028.77</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Casual relief teachers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71 551.65</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Administration &amp; office</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33 734.80</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School-operated canteen</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 xml:space="preserve">  0.00</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Utilities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44 030.32</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Maintenance</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8 035.92</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Trust accounts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5 406.14</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Capital programs</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sz w:val="18"/>
                <w:szCs w:val="18"/>
                <w:lang w:val="en-AU" w:eastAsia="en-AU" w:bidi="ar-SA"/>
              </w:rPr>
            </w:pPr>
            <w:r w:rsidRPr="007B1046">
              <w:rPr>
                <w:rFonts w:ascii="Arial" w:eastAsia="Times New Roman" w:hAnsi="Arial" w:cs="Arial"/>
                <w:sz w:val="18"/>
                <w:szCs w:val="18"/>
                <w:lang w:val="en-AU" w:eastAsia="en-AU" w:bidi="ar-SA"/>
              </w:rPr>
              <w:t xml:space="preserve">  0.00</w:t>
            </w:r>
          </w:p>
        </w:tc>
      </w:tr>
      <w:tr w:rsidR="005D00B6" w:rsidRPr="007B1046" w:rsidTr="005D00B6">
        <w:trPr>
          <w:trHeight w:val="255"/>
        </w:trPr>
        <w:tc>
          <w:tcPr>
            <w:tcW w:w="3300" w:type="dxa"/>
            <w:shd w:val="clear" w:color="auto" w:fill="auto"/>
            <w:noWrap/>
            <w:vAlign w:val="bottom"/>
            <w:hideMark/>
          </w:tcPr>
          <w:p w:rsidR="005D00B6" w:rsidRPr="007B1046" w:rsidRDefault="005D00B6" w:rsidP="005D00B6">
            <w:pPr>
              <w:spacing w:after="0" w:line="240" w:lineRule="auto"/>
              <w:ind w:firstLineChars="100" w:firstLine="180"/>
              <w:rPr>
                <w:rFonts w:ascii="Arial" w:eastAsia="Times New Roman" w:hAnsi="Arial" w:cs="Arial"/>
                <w:i/>
                <w:iCs/>
                <w:sz w:val="18"/>
                <w:szCs w:val="18"/>
                <w:lang w:val="en-AU" w:eastAsia="en-AU" w:bidi="ar-SA"/>
              </w:rPr>
            </w:pPr>
            <w:r w:rsidRPr="007B1046">
              <w:rPr>
                <w:rFonts w:ascii="Arial" w:eastAsia="Times New Roman" w:hAnsi="Arial" w:cs="Arial"/>
                <w:i/>
                <w:iCs/>
                <w:sz w:val="18"/>
                <w:szCs w:val="18"/>
                <w:lang w:val="en-AU" w:eastAsia="en-AU" w:bidi="ar-SA"/>
              </w:rPr>
              <w:t>Total expenditure</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i/>
                <w:iCs/>
                <w:sz w:val="18"/>
                <w:szCs w:val="18"/>
                <w:lang w:val="en-AU" w:eastAsia="en-AU" w:bidi="ar-SA"/>
              </w:rPr>
            </w:pPr>
            <w:r>
              <w:rPr>
                <w:rFonts w:ascii="Arial" w:eastAsia="Times New Roman" w:hAnsi="Arial" w:cs="Arial"/>
                <w:i/>
                <w:iCs/>
                <w:sz w:val="18"/>
                <w:szCs w:val="18"/>
                <w:lang w:val="en-AU" w:eastAsia="en-AU" w:bidi="ar-SA"/>
              </w:rPr>
              <w:t>382 012.88</w:t>
            </w:r>
          </w:p>
        </w:tc>
      </w:tr>
      <w:tr w:rsidR="005D00B6" w:rsidRPr="007B1046" w:rsidTr="005D00B6">
        <w:trPr>
          <w:trHeight w:val="270"/>
        </w:trPr>
        <w:tc>
          <w:tcPr>
            <w:tcW w:w="3300" w:type="dxa"/>
            <w:shd w:val="clear" w:color="auto" w:fill="auto"/>
            <w:noWrap/>
            <w:vAlign w:val="bottom"/>
            <w:hideMark/>
          </w:tcPr>
          <w:p w:rsidR="005D00B6" w:rsidRPr="007B1046" w:rsidRDefault="005D00B6" w:rsidP="005D00B6">
            <w:pPr>
              <w:spacing w:after="0" w:line="240" w:lineRule="auto"/>
              <w:ind w:firstLineChars="100" w:firstLine="201"/>
              <w:rPr>
                <w:rFonts w:ascii="Arial" w:eastAsia="Times New Roman" w:hAnsi="Arial" w:cs="Arial"/>
                <w:b/>
                <w:bCs/>
                <w:sz w:val="20"/>
                <w:szCs w:val="20"/>
                <w:lang w:val="en-AU" w:eastAsia="en-AU" w:bidi="ar-SA"/>
              </w:rPr>
            </w:pPr>
            <w:r w:rsidRPr="007B1046">
              <w:rPr>
                <w:rFonts w:ascii="Arial" w:eastAsia="Times New Roman" w:hAnsi="Arial" w:cs="Arial"/>
                <w:b/>
                <w:bCs/>
                <w:sz w:val="20"/>
                <w:szCs w:val="20"/>
                <w:lang w:val="en-AU" w:eastAsia="en-AU" w:bidi="ar-SA"/>
              </w:rPr>
              <w:t>Balance carried forward</w:t>
            </w:r>
          </w:p>
        </w:tc>
        <w:tc>
          <w:tcPr>
            <w:tcW w:w="1416" w:type="dxa"/>
            <w:shd w:val="clear" w:color="auto" w:fill="auto"/>
            <w:noWrap/>
            <w:vAlign w:val="bottom"/>
            <w:hideMark/>
          </w:tcPr>
          <w:p w:rsidR="005D00B6" w:rsidRPr="007B1046" w:rsidRDefault="005D00B6" w:rsidP="005D00B6">
            <w:pPr>
              <w:spacing w:after="0" w:line="240" w:lineRule="auto"/>
              <w:jc w:val="right"/>
              <w:rPr>
                <w:rFonts w:ascii="Arial" w:eastAsia="Times New Roman" w:hAnsi="Arial" w:cs="Arial"/>
                <w:b/>
                <w:bCs/>
                <w:sz w:val="18"/>
                <w:szCs w:val="18"/>
                <w:lang w:val="en-AU" w:eastAsia="en-AU" w:bidi="ar-SA"/>
              </w:rPr>
            </w:pPr>
            <w:r>
              <w:rPr>
                <w:rFonts w:ascii="Arial" w:eastAsia="Times New Roman" w:hAnsi="Arial" w:cs="Arial"/>
                <w:b/>
                <w:bCs/>
                <w:sz w:val="18"/>
                <w:szCs w:val="18"/>
                <w:lang w:val="en-AU" w:eastAsia="en-AU" w:bidi="ar-SA"/>
              </w:rPr>
              <w:t>230 501.96</w:t>
            </w:r>
          </w:p>
        </w:tc>
      </w:tr>
      <w:tr w:rsidR="005D00B6" w:rsidRPr="007B1046" w:rsidTr="005D00B6">
        <w:trPr>
          <w:trHeight w:val="139"/>
        </w:trPr>
        <w:tc>
          <w:tcPr>
            <w:tcW w:w="3300" w:type="dxa"/>
            <w:shd w:val="clear" w:color="auto" w:fill="auto"/>
            <w:noWrap/>
            <w:vAlign w:val="bottom"/>
            <w:hideMark/>
          </w:tcPr>
          <w:p w:rsidR="005D00B6" w:rsidRPr="007B1046" w:rsidRDefault="005D00B6" w:rsidP="005D00B6">
            <w:pPr>
              <w:spacing w:after="0" w:line="240" w:lineRule="auto"/>
              <w:rPr>
                <w:rFonts w:ascii="Arial" w:eastAsia="Times New Roman" w:hAnsi="Arial" w:cs="Arial"/>
                <w:sz w:val="20"/>
                <w:szCs w:val="20"/>
                <w:lang w:val="en-AU" w:eastAsia="en-AU" w:bidi="ar-SA"/>
              </w:rPr>
            </w:pPr>
          </w:p>
        </w:tc>
        <w:tc>
          <w:tcPr>
            <w:tcW w:w="1416" w:type="dxa"/>
            <w:shd w:val="clear" w:color="auto" w:fill="auto"/>
            <w:noWrap/>
            <w:vAlign w:val="bottom"/>
            <w:hideMark/>
          </w:tcPr>
          <w:p w:rsidR="005D00B6" w:rsidRPr="007B1046" w:rsidRDefault="005D00B6" w:rsidP="005D00B6">
            <w:pPr>
              <w:spacing w:after="0" w:line="240" w:lineRule="auto"/>
              <w:rPr>
                <w:rFonts w:ascii="Arial" w:eastAsia="Times New Roman" w:hAnsi="Arial" w:cs="Arial"/>
                <w:sz w:val="20"/>
                <w:szCs w:val="20"/>
                <w:lang w:val="en-AU" w:eastAsia="en-AU" w:bidi="ar-SA"/>
              </w:rPr>
            </w:pPr>
          </w:p>
        </w:tc>
      </w:tr>
    </w:tbl>
    <w:p w:rsidR="005D00B6" w:rsidRDefault="005D00B6" w:rsidP="00FD59D8">
      <w:pPr>
        <w:pStyle w:val="ASRHeading1"/>
        <w:outlineLvl w:val="0"/>
      </w:pPr>
    </w:p>
    <w:p w:rsidR="005D00B6" w:rsidRDefault="005D00B6" w:rsidP="00FD59D8">
      <w:pPr>
        <w:pStyle w:val="ASRHeading1"/>
        <w:outlineLvl w:val="0"/>
      </w:pPr>
    </w:p>
    <w:p w:rsidR="005D00B6" w:rsidRDefault="005D00B6" w:rsidP="00FD59D8">
      <w:pPr>
        <w:pStyle w:val="ASRHeading1"/>
        <w:outlineLvl w:val="0"/>
      </w:pPr>
    </w:p>
    <w:p w:rsidR="005D00B6" w:rsidRDefault="005D00B6" w:rsidP="00FD59D8">
      <w:pPr>
        <w:pStyle w:val="ASRHeading1"/>
        <w:outlineLvl w:val="0"/>
      </w:pPr>
    </w:p>
    <w:p w:rsidR="009974E3" w:rsidRPr="000A11D6" w:rsidRDefault="009974E3" w:rsidP="00FD59D8">
      <w:pPr>
        <w:pStyle w:val="ASRHeading1"/>
        <w:outlineLvl w:val="0"/>
      </w:pPr>
      <w:r w:rsidRPr="000A11D6">
        <w:lastRenderedPageBreak/>
        <w:t>School performance 2011</w:t>
      </w:r>
      <w:bookmarkEnd w:id="18"/>
    </w:p>
    <w:p w:rsidR="009974E3" w:rsidRPr="000A11D6" w:rsidRDefault="009974E3" w:rsidP="00FD59D8">
      <w:pPr>
        <w:pStyle w:val="ASRHeading2"/>
        <w:outlineLvl w:val="1"/>
      </w:pPr>
      <w:bookmarkStart w:id="19" w:name="_Toc306703579"/>
      <w:r w:rsidRPr="000A11D6">
        <w:t>Achievements</w:t>
      </w:r>
      <w:bookmarkEnd w:id="19"/>
    </w:p>
    <w:p w:rsidR="009974E3" w:rsidRPr="000A11D6" w:rsidRDefault="009974E3" w:rsidP="00FD59D8">
      <w:pPr>
        <w:pStyle w:val="ASRHeading3"/>
        <w:outlineLvl w:val="2"/>
      </w:pPr>
      <w:bookmarkStart w:id="20" w:name="_Toc306703580"/>
      <w:r w:rsidRPr="000A11D6">
        <w:t>Arts</w:t>
      </w:r>
      <w:bookmarkEnd w:id="20"/>
    </w:p>
    <w:p w:rsidR="004C3E75" w:rsidRPr="004C3E75" w:rsidRDefault="004C3E75" w:rsidP="004C3E75">
      <w:pPr>
        <w:spacing w:before="120" w:after="120" w:line="240" w:lineRule="auto"/>
        <w:jc w:val="both"/>
        <w:rPr>
          <w:rFonts w:ascii="Calibri" w:eastAsia="Times New Roman" w:hAnsi="Calibri" w:cs="Times New Roman"/>
        </w:rPr>
      </w:pPr>
      <w:bookmarkStart w:id="21" w:name="_Toc306703581"/>
      <w:r>
        <w:rPr>
          <w:rFonts w:ascii="Calibri" w:eastAsia="Times New Roman" w:hAnsi="Calibri" w:cs="Times New Roman"/>
        </w:rPr>
        <w:t>During 2011</w:t>
      </w:r>
      <w:r w:rsidRPr="004C3E75">
        <w:rPr>
          <w:rFonts w:ascii="Calibri" w:eastAsia="Times New Roman" w:hAnsi="Calibri" w:cs="Times New Roman"/>
        </w:rPr>
        <w:t xml:space="preserve"> </w:t>
      </w:r>
      <w:proofErr w:type="spellStart"/>
      <w:r w:rsidRPr="004C3E75">
        <w:rPr>
          <w:rFonts w:ascii="Calibri" w:eastAsia="Times New Roman" w:hAnsi="Calibri" w:cs="Times New Roman"/>
        </w:rPr>
        <w:t>Gosford</w:t>
      </w:r>
      <w:proofErr w:type="spellEnd"/>
      <w:r w:rsidRPr="004C3E75">
        <w:rPr>
          <w:rFonts w:ascii="Calibri" w:eastAsia="Times New Roman" w:hAnsi="Calibri" w:cs="Times New Roman"/>
        </w:rPr>
        <w:t xml:space="preserve"> East participated in a wide range of activities in Creative and Practical Arts (CAPA) including:</w:t>
      </w:r>
    </w:p>
    <w:p w:rsidR="004C3E75" w:rsidRPr="004C3E75" w:rsidRDefault="004C3E75" w:rsidP="004C3E75">
      <w:pPr>
        <w:numPr>
          <w:ilvl w:val="0"/>
          <w:numId w:val="18"/>
        </w:numPr>
        <w:spacing w:before="120" w:after="0" w:line="240" w:lineRule="auto"/>
        <w:jc w:val="both"/>
        <w:rPr>
          <w:rFonts w:ascii="Calibri" w:eastAsia="Times New Roman" w:hAnsi="Calibri" w:cs="Times New Roman"/>
        </w:rPr>
      </w:pPr>
      <w:r w:rsidRPr="004C3E75">
        <w:rPr>
          <w:rFonts w:ascii="Calibri" w:eastAsia="Times New Roman" w:hAnsi="Calibri" w:cs="Times New Roman"/>
        </w:rPr>
        <w:t>Weekly assemblies, where completed work was presented to or performed for the school community;</w:t>
      </w:r>
    </w:p>
    <w:p w:rsidR="004C3E75" w:rsidRPr="004C3E75" w:rsidRDefault="004C3E75" w:rsidP="004C3E75">
      <w:pPr>
        <w:numPr>
          <w:ilvl w:val="0"/>
          <w:numId w:val="19"/>
        </w:numPr>
        <w:spacing w:before="120" w:after="0" w:line="240" w:lineRule="auto"/>
        <w:jc w:val="both"/>
        <w:rPr>
          <w:rFonts w:ascii="Calibri" w:eastAsia="Times New Roman" w:hAnsi="Calibri" w:cs="Times New Roman"/>
        </w:rPr>
      </w:pPr>
      <w:r w:rsidRPr="004C3E75">
        <w:rPr>
          <w:rFonts w:ascii="Calibri" w:eastAsia="Times New Roman" w:hAnsi="Calibri" w:cs="Times New Roman"/>
        </w:rPr>
        <w:t xml:space="preserve">The students attended a number of performances at the school; </w:t>
      </w:r>
    </w:p>
    <w:p w:rsidR="004C3E75" w:rsidRPr="004C3E75" w:rsidRDefault="004C3E75" w:rsidP="004C3E75">
      <w:pPr>
        <w:numPr>
          <w:ilvl w:val="0"/>
          <w:numId w:val="19"/>
        </w:numPr>
        <w:spacing w:before="120" w:after="0" w:line="240" w:lineRule="auto"/>
        <w:jc w:val="both"/>
        <w:rPr>
          <w:rFonts w:ascii="Calibri" w:eastAsia="Times New Roman" w:hAnsi="Calibri" w:cs="Times New Roman"/>
        </w:rPr>
      </w:pPr>
      <w:r w:rsidRPr="004C3E75">
        <w:rPr>
          <w:rFonts w:ascii="Calibri" w:eastAsia="Times New Roman" w:hAnsi="Calibri" w:cs="Times New Roman"/>
        </w:rPr>
        <w:t>Art work is displayed each week by different classes by each stage;</w:t>
      </w:r>
    </w:p>
    <w:p w:rsidR="004C3E75" w:rsidRPr="004C3E75" w:rsidRDefault="004C3E75" w:rsidP="004C3E75">
      <w:pPr>
        <w:numPr>
          <w:ilvl w:val="0"/>
          <w:numId w:val="19"/>
        </w:numPr>
        <w:spacing w:before="120" w:after="0" w:line="240" w:lineRule="auto"/>
        <w:jc w:val="both"/>
        <w:rPr>
          <w:rFonts w:ascii="Calibri" w:eastAsia="Times New Roman" w:hAnsi="Calibri" w:cs="Times New Roman"/>
        </w:rPr>
      </w:pPr>
      <w:r w:rsidRPr="004C3E75">
        <w:rPr>
          <w:rFonts w:ascii="Calibri" w:eastAsia="Times New Roman" w:hAnsi="Calibri" w:cs="Times New Roman"/>
        </w:rPr>
        <w:t xml:space="preserve">Some of our Aboriginal students displayed their work at the </w:t>
      </w:r>
      <w:smartTag w:uri="urn:schemas-microsoft-com:office:smarttags" w:element="place">
        <w:smartTag w:uri="urn:schemas-microsoft-com:office:smarttags" w:element="PlaceName">
          <w:r w:rsidRPr="004C3E75">
            <w:rPr>
              <w:rFonts w:ascii="Calibri" w:eastAsia="Times New Roman" w:hAnsi="Calibri" w:cs="Times New Roman"/>
            </w:rPr>
            <w:t>Regional</w:t>
          </w:r>
        </w:smartTag>
        <w:r w:rsidRPr="004C3E75">
          <w:rPr>
            <w:rFonts w:ascii="Calibri" w:eastAsia="Times New Roman" w:hAnsi="Calibri" w:cs="Times New Roman"/>
          </w:rPr>
          <w:t xml:space="preserve"> </w:t>
        </w:r>
        <w:smartTag w:uri="urn:schemas-microsoft-com:office:smarttags" w:element="PlaceName">
          <w:r w:rsidRPr="004C3E75">
            <w:rPr>
              <w:rFonts w:ascii="Calibri" w:eastAsia="Times New Roman" w:hAnsi="Calibri" w:cs="Times New Roman"/>
            </w:rPr>
            <w:t>Art</w:t>
          </w:r>
        </w:smartTag>
        <w:r w:rsidRPr="004C3E75">
          <w:rPr>
            <w:rFonts w:ascii="Calibri" w:eastAsia="Times New Roman" w:hAnsi="Calibri" w:cs="Times New Roman"/>
          </w:rPr>
          <w:t xml:space="preserve"> </w:t>
        </w:r>
        <w:smartTag w:uri="urn:schemas-microsoft-com:office:smarttags" w:element="PlaceName">
          <w:r w:rsidRPr="004C3E75">
            <w:rPr>
              <w:rFonts w:ascii="Calibri" w:eastAsia="Times New Roman" w:hAnsi="Calibri" w:cs="Times New Roman"/>
            </w:rPr>
            <w:t>Gallery</w:t>
          </w:r>
        </w:smartTag>
      </w:smartTag>
      <w:r w:rsidRPr="004C3E75">
        <w:rPr>
          <w:rFonts w:ascii="Calibri" w:eastAsia="Times New Roman" w:hAnsi="Calibri" w:cs="Times New Roman"/>
        </w:rPr>
        <w:t>;</w:t>
      </w:r>
    </w:p>
    <w:p w:rsidR="00F53BFB" w:rsidRDefault="004C3E75" w:rsidP="004C3E75">
      <w:pPr>
        <w:pStyle w:val="ASRHeading3"/>
        <w:outlineLvl w:val="2"/>
        <w:rPr>
          <w:rFonts w:eastAsia="Times New Roman" w:cs="Times New Roman"/>
          <w:b w:val="0"/>
          <w:bCs w:val="0"/>
          <w:sz w:val="22"/>
          <w:szCs w:val="22"/>
        </w:rPr>
      </w:pPr>
      <w:r w:rsidRPr="004C3E75">
        <w:rPr>
          <w:rFonts w:eastAsia="Times New Roman" w:cs="Times New Roman"/>
          <w:b w:val="0"/>
          <w:bCs w:val="0"/>
          <w:sz w:val="22"/>
          <w:szCs w:val="22"/>
        </w:rPr>
        <w:t>The Choir under the leadership of Christie Trigg continues to be very successful performing a</w:t>
      </w:r>
      <w:r w:rsidR="00F53BFB">
        <w:rPr>
          <w:rFonts w:eastAsia="Times New Roman" w:cs="Times New Roman"/>
          <w:b w:val="0"/>
          <w:bCs w:val="0"/>
          <w:sz w:val="22"/>
          <w:szCs w:val="22"/>
        </w:rPr>
        <w:t xml:space="preserve">t </w:t>
      </w:r>
      <w:proofErr w:type="spellStart"/>
      <w:r w:rsidR="00F53BFB">
        <w:rPr>
          <w:rFonts w:eastAsia="Times New Roman" w:cs="Times New Roman"/>
          <w:b w:val="0"/>
          <w:bCs w:val="0"/>
          <w:sz w:val="22"/>
          <w:szCs w:val="22"/>
        </w:rPr>
        <w:t>Erina</w:t>
      </w:r>
      <w:proofErr w:type="spellEnd"/>
      <w:r w:rsidR="00F53BFB">
        <w:rPr>
          <w:rFonts w:eastAsia="Times New Roman" w:cs="Times New Roman"/>
          <w:b w:val="0"/>
          <w:bCs w:val="0"/>
          <w:sz w:val="22"/>
          <w:szCs w:val="22"/>
        </w:rPr>
        <w:t xml:space="preserve"> Fair and</w:t>
      </w:r>
      <w:r w:rsidRPr="004C3E75">
        <w:rPr>
          <w:rFonts w:eastAsia="Times New Roman" w:cs="Times New Roman"/>
          <w:b w:val="0"/>
          <w:bCs w:val="0"/>
          <w:sz w:val="22"/>
          <w:szCs w:val="22"/>
        </w:rPr>
        <w:t xml:space="preserve"> local aged care facilities and school functions. About 80 students are in the choir which is nearly a third of the school. </w:t>
      </w:r>
    </w:p>
    <w:p w:rsidR="009974E3" w:rsidRPr="000A11D6" w:rsidRDefault="009974E3" w:rsidP="004C3E75">
      <w:pPr>
        <w:pStyle w:val="ASRHeading3"/>
        <w:outlineLvl w:val="2"/>
      </w:pPr>
      <w:r w:rsidRPr="000A11D6">
        <w:t>Sport</w:t>
      </w:r>
      <w:bookmarkEnd w:id="21"/>
    </w:p>
    <w:p w:rsidR="0008554B" w:rsidRPr="0080698A" w:rsidRDefault="0008554B" w:rsidP="0008554B">
      <w:pPr>
        <w:pStyle w:val="ASRHeading3"/>
        <w:outlineLvl w:val="2"/>
        <w:rPr>
          <w:b w:val="0"/>
          <w:sz w:val="22"/>
          <w:szCs w:val="22"/>
          <w:lang w:val="en-AU"/>
        </w:rPr>
      </w:pPr>
      <w:bookmarkStart w:id="22" w:name="_Toc306703582"/>
      <w:r w:rsidRPr="0080698A">
        <w:rPr>
          <w:b w:val="0"/>
          <w:sz w:val="22"/>
          <w:szCs w:val="22"/>
          <w:lang w:val="en-AU"/>
        </w:rPr>
        <w:t>Gosford East Public School has again had a successful year in sport. Although our school is dropping numbers we are still able to compete favourably with other schools. The behaviour and sportsmanship displayed by our students on any sporting field has been outstanding.</w:t>
      </w:r>
    </w:p>
    <w:p w:rsidR="0008554B" w:rsidRPr="0080698A" w:rsidRDefault="0008554B" w:rsidP="0008554B">
      <w:pPr>
        <w:pStyle w:val="ASRHeading3"/>
        <w:outlineLvl w:val="2"/>
        <w:rPr>
          <w:b w:val="0"/>
          <w:sz w:val="22"/>
          <w:szCs w:val="22"/>
          <w:lang w:val="en-AU"/>
        </w:rPr>
      </w:pPr>
      <w:r w:rsidRPr="0080698A">
        <w:rPr>
          <w:b w:val="0"/>
          <w:sz w:val="22"/>
          <w:szCs w:val="22"/>
          <w:lang w:val="en-AU"/>
        </w:rPr>
        <w:t xml:space="preserve">The first major event of 2011 was the Swimming Carnival. The most special moment occurred when at the district carnival Ben </w:t>
      </w:r>
      <w:proofErr w:type="spellStart"/>
      <w:r w:rsidRPr="0080698A">
        <w:rPr>
          <w:b w:val="0"/>
          <w:sz w:val="22"/>
          <w:szCs w:val="22"/>
          <w:lang w:val="en-AU"/>
        </w:rPr>
        <w:t>Kemsley</w:t>
      </w:r>
      <w:proofErr w:type="spellEnd"/>
      <w:r w:rsidRPr="0080698A">
        <w:rPr>
          <w:b w:val="0"/>
          <w:sz w:val="22"/>
          <w:szCs w:val="22"/>
          <w:lang w:val="en-AU"/>
        </w:rPr>
        <w:t xml:space="preserve"> swam in a</w:t>
      </w:r>
      <w:r w:rsidR="0080698A" w:rsidRPr="0080698A">
        <w:rPr>
          <w:b w:val="0"/>
          <w:sz w:val="22"/>
          <w:szCs w:val="22"/>
          <w:lang w:val="en-AU"/>
        </w:rPr>
        <w:t>n</w:t>
      </w:r>
      <w:r w:rsidRPr="0080698A">
        <w:rPr>
          <w:b w:val="0"/>
          <w:sz w:val="22"/>
          <w:szCs w:val="22"/>
          <w:lang w:val="en-AU"/>
        </w:rPr>
        <w:t xml:space="preserve"> event for students with disabilities. This was the first time an event has been held at the district level. It was heart warming to see the entire stadium stand and cheer as he completed his event. This has started a tradition with other disabled athletes from other schools competing at the district athletics. It was mentioned at the BWPSSA meeting recently.</w:t>
      </w:r>
    </w:p>
    <w:p w:rsidR="0008554B" w:rsidRPr="0080698A" w:rsidRDefault="0008554B" w:rsidP="0008554B">
      <w:pPr>
        <w:pStyle w:val="ASRHeading3"/>
        <w:outlineLvl w:val="2"/>
        <w:rPr>
          <w:b w:val="0"/>
          <w:sz w:val="22"/>
          <w:szCs w:val="22"/>
          <w:lang w:val="en-AU"/>
        </w:rPr>
      </w:pPr>
      <w:r w:rsidRPr="0080698A">
        <w:rPr>
          <w:b w:val="0"/>
          <w:sz w:val="22"/>
          <w:szCs w:val="22"/>
          <w:lang w:val="en-AU"/>
        </w:rPr>
        <w:t>Our cricket team was played an exceptional game against a much larger school. Although they lost the match they all played very well.</w:t>
      </w:r>
    </w:p>
    <w:p w:rsidR="005D00B6" w:rsidRDefault="005D00B6" w:rsidP="0008554B">
      <w:pPr>
        <w:pStyle w:val="ASRHeading3"/>
        <w:outlineLvl w:val="2"/>
        <w:rPr>
          <w:b w:val="0"/>
          <w:sz w:val="22"/>
          <w:szCs w:val="22"/>
          <w:lang w:val="en-AU"/>
        </w:rPr>
      </w:pPr>
    </w:p>
    <w:p w:rsidR="005D00B6" w:rsidRDefault="005D00B6" w:rsidP="0008554B">
      <w:pPr>
        <w:pStyle w:val="ASRHeading3"/>
        <w:outlineLvl w:val="2"/>
        <w:rPr>
          <w:b w:val="0"/>
          <w:sz w:val="22"/>
          <w:szCs w:val="22"/>
          <w:lang w:val="en-AU"/>
        </w:rPr>
      </w:pPr>
    </w:p>
    <w:p w:rsidR="005D00B6" w:rsidRDefault="005D00B6" w:rsidP="0008554B">
      <w:pPr>
        <w:pStyle w:val="ASRHeading3"/>
        <w:outlineLvl w:val="2"/>
        <w:rPr>
          <w:b w:val="0"/>
          <w:sz w:val="22"/>
          <w:szCs w:val="22"/>
          <w:lang w:val="en-AU"/>
        </w:rPr>
      </w:pPr>
    </w:p>
    <w:p w:rsidR="0008554B" w:rsidRPr="0080698A" w:rsidRDefault="0008554B" w:rsidP="0008554B">
      <w:pPr>
        <w:pStyle w:val="ASRHeading3"/>
        <w:outlineLvl w:val="2"/>
        <w:rPr>
          <w:b w:val="0"/>
          <w:sz w:val="22"/>
          <w:szCs w:val="22"/>
          <w:lang w:val="en-AU"/>
        </w:rPr>
      </w:pPr>
      <w:r w:rsidRPr="0080698A">
        <w:rPr>
          <w:b w:val="0"/>
          <w:sz w:val="22"/>
          <w:szCs w:val="22"/>
          <w:lang w:val="en-AU"/>
        </w:rPr>
        <w:lastRenderedPageBreak/>
        <w:t>Our</w:t>
      </w:r>
      <w:r w:rsidR="0080698A" w:rsidRPr="0080698A">
        <w:rPr>
          <w:b w:val="0"/>
          <w:sz w:val="22"/>
          <w:szCs w:val="22"/>
          <w:lang w:val="en-AU"/>
        </w:rPr>
        <w:t xml:space="preserve"> soccer teams were coached by M</w:t>
      </w:r>
      <w:r w:rsidRPr="0080698A">
        <w:rPr>
          <w:b w:val="0"/>
          <w:sz w:val="22"/>
          <w:szCs w:val="22"/>
          <w:lang w:val="en-AU"/>
        </w:rPr>
        <w:t xml:space="preserve">s Sansom. The </w:t>
      </w:r>
      <w:proofErr w:type="gramStart"/>
      <w:r w:rsidRPr="0080698A">
        <w:rPr>
          <w:b w:val="0"/>
          <w:sz w:val="22"/>
          <w:szCs w:val="22"/>
          <w:lang w:val="en-AU"/>
        </w:rPr>
        <w:t>boys</w:t>
      </w:r>
      <w:proofErr w:type="gramEnd"/>
      <w:r w:rsidRPr="0080698A">
        <w:rPr>
          <w:b w:val="0"/>
          <w:sz w:val="22"/>
          <w:szCs w:val="22"/>
          <w:lang w:val="en-AU"/>
        </w:rPr>
        <w:t xml:space="preserve"> team won two games out of the three and worked well as a team. The </w:t>
      </w:r>
      <w:proofErr w:type="gramStart"/>
      <w:r w:rsidRPr="0080698A">
        <w:rPr>
          <w:b w:val="0"/>
          <w:sz w:val="22"/>
          <w:szCs w:val="22"/>
          <w:lang w:val="en-AU"/>
        </w:rPr>
        <w:t>girls</w:t>
      </w:r>
      <w:proofErr w:type="gramEnd"/>
      <w:r w:rsidRPr="0080698A">
        <w:rPr>
          <w:b w:val="0"/>
          <w:sz w:val="22"/>
          <w:szCs w:val="22"/>
          <w:lang w:val="en-AU"/>
        </w:rPr>
        <w:t xml:space="preserve"> first game against Lisarow was a great game with all the girls showing great spirit and they did not have an opposition for their second game.</w:t>
      </w:r>
    </w:p>
    <w:p w:rsidR="008B6446" w:rsidRDefault="0008554B" w:rsidP="0008554B">
      <w:pPr>
        <w:pStyle w:val="ASRHeading3"/>
        <w:outlineLvl w:val="2"/>
        <w:rPr>
          <w:b w:val="0"/>
          <w:sz w:val="22"/>
          <w:szCs w:val="22"/>
          <w:lang w:val="en-AU"/>
        </w:rPr>
      </w:pPr>
      <w:r w:rsidRPr="0080698A">
        <w:rPr>
          <w:b w:val="0"/>
          <w:sz w:val="22"/>
          <w:szCs w:val="22"/>
          <w:lang w:val="en-AU"/>
        </w:rPr>
        <w:t>The boys and girls basketball teams were organised by Mr Whelan and coached on the day by Mrs Flynn. The captains Julia and Dylan displayed excellent leadership skills, encouraging all players throughout the day.</w:t>
      </w:r>
    </w:p>
    <w:p w:rsidR="0008554B" w:rsidRPr="0080698A" w:rsidRDefault="0008554B" w:rsidP="0008554B">
      <w:pPr>
        <w:pStyle w:val="ASRHeading3"/>
        <w:outlineLvl w:val="2"/>
        <w:rPr>
          <w:b w:val="0"/>
          <w:sz w:val="22"/>
          <w:szCs w:val="22"/>
          <w:lang w:val="en-AU"/>
        </w:rPr>
      </w:pPr>
      <w:r w:rsidRPr="0080698A">
        <w:rPr>
          <w:b w:val="0"/>
          <w:sz w:val="22"/>
          <w:szCs w:val="22"/>
          <w:lang w:val="en-AU"/>
        </w:rPr>
        <w:t>Our AFL teams were also competitive on our Paul Kelly Cup day. The boys played well, making it to the semi-finals. The girls competed gallantly against teams mainly made up of boys. A great day was had by all.</w:t>
      </w:r>
    </w:p>
    <w:p w:rsidR="0008554B" w:rsidRPr="0080698A" w:rsidRDefault="0008554B" w:rsidP="0008554B">
      <w:pPr>
        <w:pStyle w:val="ASRHeading3"/>
        <w:outlineLvl w:val="2"/>
        <w:rPr>
          <w:b w:val="0"/>
          <w:sz w:val="22"/>
          <w:szCs w:val="22"/>
          <w:lang w:val="en-AU"/>
        </w:rPr>
      </w:pPr>
      <w:r w:rsidRPr="0080698A">
        <w:rPr>
          <w:b w:val="0"/>
          <w:sz w:val="22"/>
          <w:szCs w:val="22"/>
          <w:lang w:val="en-AU"/>
        </w:rPr>
        <w:t xml:space="preserve">Many students also participated in the Learn to </w:t>
      </w:r>
      <w:proofErr w:type="gramStart"/>
      <w:r w:rsidRPr="0080698A">
        <w:rPr>
          <w:b w:val="0"/>
          <w:sz w:val="22"/>
          <w:szCs w:val="22"/>
          <w:lang w:val="en-AU"/>
        </w:rPr>
        <w:t>Swim</w:t>
      </w:r>
      <w:proofErr w:type="gramEnd"/>
      <w:r w:rsidRPr="0080698A">
        <w:rPr>
          <w:b w:val="0"/>
          <w:sz w:val="22"/>
          <w:szCs w:val="22"/>
          <w:lang w:val="en-AU"/>
        </w:rPr>
        <w:t xml:space="preserve"> classes down at Gosford Pool. The behaviour and attention to lessons from our students is to be commended. Our students are always very sensible when they have to walk long a busy road when going to the pool. </w:t>
      </w:r>
    </w:p>
    <w:p w:rsidR="0008554B" w:rsidRPr="0080698A" w:rsidRDefault="0008554B" w:rsidP="0008554B">
      <w:pPr>
        <w:pStyle w:val="ASRHeading3"/>
        <w:outlineLvl w:val="2"/>
        <w:rPr>
          <w:b w:val="0"/>
          <w:sz w:val="22"/>
          <w:szCs w:val="22"/>
          <w:lang w:val="en-AU"/>
        </w:rPr>
      </w:pPr>
      <w:r w:rsidRPr="0080698A">
        <w:rPr>
          <w:b w:val="0"/>
          <w:sz w:val="22"/>
          <w:szCs w:val="22"/>
          <w:lang w:val="en-AU"/>
        </w:rPr>
        <w:t>Our support unit again had a successful year.</w:t>
      </w:r>
    </w:p>
    <w:p w:rsidR="0008554B" w:rsidRPr="0080698A" w:rsidRDefault="0008554B" w:rsidP="0008554B">
      <w:pPr>
        <w:pStyle w:val="ASRHeading3"/>
        <w:outlineLvl w:val="2"/>
        <w:rPr>
          <w:b w:val="0"/>
          <w:sz w:val="22"/>
          <w:szCs w:val="22"/>
          <w:lang w:val="en-AU"/>
        </w:rPr>
      </w:pPr>
      <w:r w:rsidRPr="0080698A">
        <w:rPr>
          <w:b w:val="0"/>
          <w:sz w:val="22"/>
          <w:szCs w:val="22"/>
          <w:lang w:val="en-AU"/>
        </w:rPr>
        <w:t>The Cross Country and Athletics Carnival were also a great success.</w:t>
      </w:r>
    </w:p>
    <w:p w:rsidR="0008554B" w:rsidRPr="0080698A" w:rsidRDefault="0008554B" w:rsidP="0008554B">
      <w:pPr>
        <w:pStyle w:val="ASRHeading3"/>
        <w:outlineLvl w:val="2"/>
        <w:rPr>
          <w:b w:val="0"/>
          <w:sz w:val="22"/>
          <w:szCs w:val="22"/>
          <w:lang w:val="en-AU"/>
        </w:rPr>
      </w:pPr>
      <w:r w:rsidRPr="0080698A">
        <w:rPr>
          <w:b w:val="0"/>
          <w:sz w:val="22"/>
          <w:szCs w:val="22"/>
          <w:lang w:val="en-AU"/>
        </w:rPr>
        <w:t>The school has been able to increase its amount of sporting equipment over the years and now has a large amount of valuable learning tools for teachers or simply for fun objects such as Frisbees and Vortex for the students to enjoy</w:t>
      </w:r>
      <w:r w:rsidR="0062535A" w:rsidRPr="0080698A">
        <w:rPr>
          <w:b w:val="0"/>
          <w:sz w:val="22"/>
          <w:szCs w:val="22"/>
          <w:lang w:val="en-AU"/>
        </w:rPr>
        <w:t>.</w:t>
      </w:r>
      <w:r w:rsidRPr="0080698A">
        <w:rPr>
          <w:b w:val="0"/>
          <w:sz w:val="22"/>
          <w:szCs w:val="22"/>
          <w:lang w:val="en-AU"/>
        </w:rPr>
        <w:t xml:space="preserve"> We have also purchased a new </w:t>
      </w:r>
      <w:r w:rsidR="0062535A" w:rsidRPr="0080698A">
        <w:rPr>
          <w:b w:val="0"/>
          <w:sz w:val="22"/>
          <w:szCs w:val="22"/>
          <w:lang w:val="en-AU"/>
        </w:rPr>
        <w:t xml:space="preserve">set of </w:t>
      </w:r>
      <w:r w:rsidRPr="0080698A">
        <w:rPr>
          <w:b w:val="0"/>
          <w:sz w:val="22"/>
          <w:szCs w:val="22"/>
          <w:lang w:val="en-AU"/>
        </w:rPr>
        <w:t>sports jersey</w:t>
      </w:r>
      <w:r w:rsidR="0062535A" w:rsidRPr="0080698A">
        <w:rPr>
          <w:b w:val="0"/>
          <w:sz w:val="22"/>
          <w:szCs w:val="22"/>
          <w:lang w:val="en-AU"/>
        </w:rPr>
        <w:t>s</w:t>
      </w:r>
      <w:r w:rsidRPr="0080698A">
        <w:rPr>
          <w:b w:val="0"/>
          <w:sz w:val="22"/>
          <w:szCs w:val="22"/>
          <w:lang w:val="en-AU"/>
        </w:rPr>
        <w:t xml:space="preserve"> designed by Owen and Sophie. </w:t>
      </w:r>
      <w:r w:rsidR="0062535A" w:rsidRPr="0080698A">
        <w:rPr>
          <w:b w:val="0"/>
          <w:sz w:val="22"/>
          <w:szCs w:val="22"/>
          <w:lang w:val="en-AU"/>
        </w:rPr>
        <w:t xml:space="preserve">The P </w:t>
      </w:r>
      <w:r w:rsidR="008B6446">
        <w:rPr>
          <w:b w:val="0"/>
          <w:sz w:val="22"/>
          <w:szCs w:val="22"/>
          <w:lang w:val="en-AU"/>
        </w:rPr>
        <w:t>&amp;</w:t>
      </w:r>
      <w:r w:rsidR="0062535A" w:rsidRPr="0080698A">
        <w:rPr>
          <w:b w:val="0"/>
          <w:sz w:val="22"/>
          <w:szCs w:val="22"/>
          <w:lang w:val="en-AU"/>
        </w:rPr>
        <w:t xml:space="preserve"> C organised some sponsorship for these and they paid for the remainder.</w:t>
      </w:r>
    </w:p>
    <w:p w:rsidR="0062535A" w:rsidRPr="0080698A" w:rsidRDefault="0062535A" w:rsidP="0008554B">
      <w:pPr>
        <w:pStyle w:val="ASRHeading3"/>
        <w:outlineLvl w:val="2"/>
        <w:rPr>
          <w:b w:val="0"/>
          <w:sz w:val="22"/>
          <w:szCs w:val="22"/>
          <w:lang w:val="en-AU"/>
        </w:rPr>
      </w:pPr>
      <w:r w:rsidRPr="0080698A">
        <w:rPr>
          <w:b w:val="0"/>
          <w:sz w:val="22"/>
          <w:szCs w:val="22"/>
          <w:lang w:val="en-AU"/>
        </w:rPr>
        <w:t>Without the amount of parent support our sporting program would not happen.</w:t>
      </w:r>
      <w:r w:rsidR="0008554B" w:rsidRPr="0080698A">
        <w:rPr>
          <w:b w:val="0"/>
          <w:sz w:val="22"/>
          <w:szCs w:val="22"/>
          <w:lang w:val="en-AU"/>
        </w:rPr>
        <w:t xml:space="preserve"> </w:t>
      </w:r>
      <w:r w:rsidRPr="0080698A">
        <w:rPr>
          <w:b w:val="0"/>
          <w:sz w:val="22"/>
          <w:szCs w:val="22"/>
          <w:lang w:val="en-AU"/>
        </w:rPr>
        <w:t>Parents assist with t</w:t>
      </w:r>
      <w:r w:rsidR="0008554B" w:rsidRPr="0080698A">
        <w:rPr>
          <w:b w:val="0"/>
          <w:sz w:val="22"/>
          <w:szCs w:val="22"/>
          <w:lang w:val="en-AU"/>
        </w:rPr>
        <w:t>ransporting, scoring, coaching, managing, washing</w:t>
      </w:r>
      <w:r w:rsidRPr="0080698A">
        <w:rPr>
          <w:b w:val="0"/>
          <w:sz w:val="22"/>
          <w:szCs w:val="22"/>
          <w:lang w:val="en-AU"/>
        </w:rPr>
        <w:t xml:space="preserve"> jumpers</w:t>
      </w:r>
      <w:r w:rsidR="0008554B" w:rsidRPr="0080698A">
        <w:rPr>
          <w:b w:val="0"/>
          <w:sz w:val="22"/>
          <w:szCs w:val="22"/>
          <w:lang w:val="en-AU"/>
        </w:rPr>
        <w:t xml:space="preserve">, photo taking </w:t>
      </w:r>
      <w:r w:rsidRPr="0080698A">
        <w:rPr>
          <w:b w:val="0"/>
          <w:sz w:val="22"/>
          <w:szCs w:val="22"/>
          <w:lang w:val="en-AU"/>
        </w:rPr>
        <w:t xml:space="preserve">and generally support our students. </w:t>
      </w:r>
    </w:p>
    <w:p w:rsidR="0008554B" w:rsidRPr="0080698A" w:rsidRDefault="0008554B" w:rsidP="00FD59D8">
      <w:pPr>
        <w:pStyle w:val="ASRHeading3"/>
        <w:outlineLvl w:val="2"/>
        <w:rPr>
          <w:b w:val="0"/>
          <w:sz w:val="22"/>
          <w:szCs w:val="22"/>
          <w:lang w:val="en-AU"/>
        </w:rPr>
      </w:pPr>
      <w:r w:rsidRPr="0080698A">
        <w:rPr>
          <w:b w:val="0"/>
          <w:sz w:val="22"/>
          <w:szCs w:val="22"/>
          <w:lang w:val="en-AU"/>
        </w:rPr>
        <w:t xml:space="preserve">Our sports captains this year have done an excellent job especially at carnival time. Many students have </w:t>
      </w:r>
      <w:r w:rsidR="0062535A" w:rsidRPr="0080698A">
        <w:rPr>
          <w:b w:val="0"/>
          <w:sz w:val="22"/>
          <w:szCs w:val="22"/>
          <w:lang w:val="en-AU"/>
        </w:rPr>
        <w:t xml:space="preserve">also assisted by handing out sporting </w:t>
      </w:r>
      <w:r w:rsidRPr="0080698A">
        <w:rPr>
          <w:b w:val="0"/>
          <w:sz w:val="22"/>
          <w:szCs w:val="22"/>
          <w:lang w:val="en-AU"/>
        </w:rPr>
        <w:t>gear at lunch time and recess and get</w:t>
      </w:r>
      <w:r w:rsidR="0062535A" w:rsidRPr="0080698A">
        <w:rPr>
          <w:b w:val="0"/>
          <w:sz w:val="22"/>
          <w:szCs w:val="22"/>
          <w:lang w:val="en-AU"/>
        </w:rPr>
        <w:t>ting sporting</w:t>
      </w:r>
      <w:r w:rsidRPr="0080698A">
        <w:rPr>
          <w:b w:val="0"/>
          <w:sz w:val="22"/>
          <w:szCs w:val="22"/>
          <w:lang w:val="en-AU"/>
        </w:rPr>
        <w:t xml:space="preserve"> gear ready for teachers </w:t>
      </w:r>
      <w:r w:rsidR="0062535A" w:rsidRPr="0080698A">
        <w:rPr>
          <w:b w:val="0"/>
          <w:sz w:val="22"/>
          <w:szCs w:val="22"/>
          <w:lang w:val="en-AU"/>
        </w:rPr>
        <w:t>for</w:t>
      </w:r>
      <w:r w:rsidRPr="0080698A">
        <w:rPr>
          <w:b w:val="0"/>
          <w:sz w:val="22"/>
          <w:szCs w:val="22"/>
          <w:lang w:val="en-AU"/>
        </w:rPr>
        <w:t xml:space="preserve"> sports afternoons. </w:t>
      </w:r>
    </w:p>
    <w:p w:rsidR="005967A4" w:rsidRDefault="005967A4" w:rsidP="00FD59D8">
      <w:pPr>
        <w:pStyle w:val="ASRHeading3"/>
        <w:outlineLvl w:val="2"/>
      </w:pPr>
      <w:bookmarkStart w:id="23" w:name="_Toc306703583"/>
      <w:bookmarkEnd w:id="22"/>
    </w:p>
    <w:p w:rsidR="005967A4" w:rsidRDefault="005967A4" w:rsidP="00FD59D8">
      <w:pPr>
        <w:pStyle w:val="ASRHeading3"/>
        <w:outlineLvl w:val="2"/>
      </w:pPr>
    </w:p>
    <w:p w:rsidR="005967A4" w:rsidRDefault="005967A4" w:rsidP="00FD59D8">
      <w:pPr>
        <w:pStyle w:val="ASRHeading3"/>
        <w:outlineLvl w:val="2"/>
      </w:pPr>
    </w:p>
    <w:p w:rsidR="009974E3" w:rsidRPr="000A11D6" w:rsidRDefault="009974E3" w:rsidP="00FD59D8">
      <w:pPr>
        <w:pStyle w:val="ASRHeading3"/>
        <w:outlineLvl w:val="2"/>
      </w:pPr>
      <w:r w:rsidRPr="000A11D6">
        <w:lastRenderedPageBreak/>
        <w:t>Academic</w:t>
      </w:r>
      <w:bookmarkEnd w:id="23"/>
    </w:p>
    <w:p w:rsidR="009974E3" w:rsidRPr="000A11D6" w:rsidRDefault="009974E3" w:rsidP="004351B0">
      <w:pPr>
        <w:pStyle w:val="ASRBodyText"/>
      </w:pPr>
      <w:r w:rsidRPr="000A11D6">
        <w:t>In the National Assessment Program, the results across the Years 3, 5, 7 and 9 literacy and numeracy assessments are reported on a scale from Band 1 to Band 10.</w:t>
      </w:r>
    </w:p>
    <w:p w:rsidR="009974E3" w:rsidRPr="000A11D6" w:rsidRDefault="009974E3" w:rsidP="004351B0">
      <w:pPr>
        <w:pStyle w:val="ASRBodyText"/>
      </w:pPr>
      <w:r w:rsidRPr="000A11D6">
        <w:t>The achievement scale represents increasing levels of skills and understandings demonstrated in these assessments.</w:t>
      </w:r>
    </w:p>
    <w:p w:rsidR="009974E3" w:rsidRPr="000A11D6" w:rsidRDefault="009974E3" w:rsidP="004351B0">
      <w:pPr>
        <w:pStyle w:val="ASRBodyText"/>
      </w:pPr>
      <w:r w:rsidRPr="000A11D6">
        <w:t>Yr 3: from Band 1 (lowest) to Band 6 (highest for Year 3)</w:t>
      </w:r>
    </w:p>
    <w:p w:rsidR="008B6446" w:rsidRDefault="009974E3" w:rsidP="005967A4">
      <w:pPr>
        <w:pStyle w:val="ASRBodyText"/>
      </w:pPr>
      <w:r w:rsidRPr="000A11D6">
        <w:t>Yr 5: from Band 3 (lowest) to Band 8 (highest for Year 5)</w:t>
      </w:r>
      <w:bookmarkStart w:id="24" w:name="_Toc306703584"/>
    </w:p>
    <w:p w:rsidR="00A6464C" w:rsidRDefault="009974E3" w:rsidP="0005110A">
      <w:pPr>
        <w:pStyle w:val="ASRHeading3"/>
        <w:outlineLvl w:val="2"/>
      </w:pPr>
      <w:r w:rsidRPr="000A11D6">
        <w:t>Literacy – NAPLAN Year 3</w:t>
      </w:r>
      <w:bookmarkEnd w:id="24"/>
    </w:p>
    <w:p w:rsidR="00A6464C" w:rsidRDefault="008142E8" w:rsidP="004351B0">
      <w:pPr>
        <w:pStyle w:val="ASRBodyText"/>
      </w:pPr>
      <w:r>
        <w:rPr>
          <w:noProof/>
          <w:lang w:val="en-AU" w:eastAsia="en-AU" w:bidi="ar-SA"/>
        </w:rPr>
        <w:drawing>
          <wp:inline distT="0" distB="0" distL="0" distR="0">
            <wp:extent cx="3057525" cy="1524000"/>
            <wp:effectExtent l="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1524000"/>
                    </a:xfrm>
                    <a:prstGeom prst="rect">
                      <a:avLst/>
                    </a:prstGeom>
                    <a:noFill/>
                    <a:ln>
                      <a:noFill/>
                    </a:ln>
                  </pic:spPr>
                </pic:pic>
              </a:graphicData>
            </a:graphic>
          </wp:inline>
        </w:drawing>
      </w:r>
    </w:p>
    <w:p w:rsidR="0005110A" w:rsidRDefault="0005110A" w:rsidP="004351B0">
      <w:pPr>
        <w:pStyle w:val="ASRBodyText"/>
      </w:pPr>
      <w:r w:rsidRPr="0005110A">
        <w:rPr>
          <w:noProof/>
          <w:lang w:val="en-AU" w:eastAsia="en-AU" w:bidi="ar-SA"/>
        </w:rPr>
        <w:drawing>
          <wp:inline distT="0" distB="0" distL="0" distR="0">
            <wp:extent cx="2820926" cy="3304383"/>
            <wp:effectExtent l="19050" t="0" r="17524"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4E34" w:rsidRDefault="002812F3" w:rsidP="004351B0">
      <w:pPr>
        <w:pStyle w:val="ASRBodyText"/>
      </w:pPr>
      <w:r>
        <w:t xml:space="preserve">The number of students in the three highest bands is higher than the 2008- 2011 average which is most pleasing. We also had very few students in the bottom two bands which </w:t>
      </w:r>
      <w:proofErr w:type="gramStart"/>
      <w:r>
        <w:t>is</w:t>
      </w:r>
      <w:proofErr w:type="gramEnd"/>
      <w:r>
        <w:t xml:space="preserve"> also most pleasing.</w:t>
      </w:r>
    </w:p>
    <w:p w:rsidR="00F6368C" w:rsidRDefault="00020319" w:rsidP="004351B0">
      <w:pPr>
        <w:pStyle w:val="ASRBodyText"/>
      </w:pPr>
      <w:r w:rsidRPr="00020319">
        <w:rPr>
          <w:noProof/>
          <w:lang w:val="en-AU" w:eastAsia="en-AU" w:bidi="ar-SA"/>
        </w:rPr>
        <w:lastRenderedPageBreak/>
        <w:drawing>
          <wp:inline distT="0" distB="0" distL="0" distR="0">
            <wp:extent cx="2835275" cy="1424553"/>
            <wp:effectExtent l="19050" t="0" r="317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835275" cy="1424553"/>
                    </a:xfrm>
                    <a:prstGeom prst="rect">
                      <a:avLst/>
                    </a:prstGeom>
                    <a:noFill/>
                    <a:ln w="9525">
                      <a:noFill/>
                      <a:miter lim="800000"/>
                      <a:headEnd/>
                      <a:tailEnd/>
                    </a:ln>
                  </pic:spPr>
                </pic:pic>
              </a:graphicData>
            </a:graphic>
          </wp:inline>
        </w:drawing>
      </w:r>
    </w:p>
    <w:p w:rsidR="0030445C" w:rsidRDefault="0030445C" w:rsidP="004351B0">
      <w:pPr>
        <w:pStyle w:val="ASRBodyText"/>
      </w:pPr>
      <w:r w:rsidRPr="0030445C">
        <w:rPr>
          <w:noProof/>
          <w:lang w:val="en-AU" w:eastAsia="en-AU" w:bidi="ar-SA"/>
        </w:rPr>
        <w:drawing>
          <wp:inline distT="0" distB="0" distL="0" distR="0">
            <wp:extent cx="2815802" cy="3304383"/>
            <wp:effectExtent l="19050" t="0" r="22648"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445C" w:rsidRDefault="002812F3" w:rsidP="004351B0">
      <w:pPr>
        <w:pStyle w:val="ASRBodyText"/>
      </w:pPr>
      <w:r>
        <w:t>We were above average in the top three bands and had very few students in Band 2 with no student in Band 1 which is extremely pleasing.</w:t>
      </w:r>
    </w:p>
    <w:p w:rsidR="00020319" w:rsidRDefault="00020319"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020319" w:rsidRDefault="00020319" w:rsidP="004351B0">
      <w:pPr>
        <w:pStyle w:val="ASRBodyText"/>
      </w:pPr>
      <w:r w:rsidRPr="00020319">
        <w:rPr>
          <w:noProof/>
          <w:lang w:val="en-AU" w:eastAsia="en-AU" w:bidi="ar-SA"/>
        </w:rPr>
        <w:lastRenderedPageBreak/>
        <w:drawing>
          <wp:inline distT="0" distB="0" distL="0" distR="0">
            <wp:extent cx="2835275" cy="1585240"/>
            <wp:effectExtent l="19050" t="0" r="317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835275" cy="1585240"/>
                    </a:xfrm>
                    <a:prstGeom prst="rect">
                      <a:avLst/>
                    </a:prstGeom>
                    <a:noFill/>
                    <a:ln w="9525">
                      <a:noFill/>
                      <a:miter lim="800000"/>
                      <a:headEnd/>
                      <a:tailEnd/>
                    </a:ln>
                  </pic:spPr>
                </pic:pic>
              </a:graphicData>
            </a:graphic>
          </wp:inline>
        </w:drawing>
      </w:r>
    </w:p>
    <w:p w:rsidR="0030445C" w:rsidRDefault="0030445C" w:rsidP="004351B0">
      <w:pPr>
        <w:pStyle w:val="ASRBodyText"/>
      </w:pPr>
    </w:p>
    <w:p w:rsidR="002F6226" w:rsidRDefault="002F6226" w:rsidP="004351B0">
      <w:pPr>
        <w:pStyle w:val="ASRBodyText"/>
      </w:pPr>
      <w:r w:rsidRPr="0030445C">
        <w:rPr>
          <w:noProof/>
          <w:lang w:val="en-AU" w:eastAsia="en-AU" w:bidi="ar-SA"/>
        </w:rPr>
        <w:drawing>
          <wp:inline distT="0" distB="0" distL="0" distR="0">
            <wp:extent cx="2830510" cy="3304383"/>
            <wp:effectExtent l="19050" t="0" r="26990" b="0"/>
            <wp:docPr id="3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445C" w:rsidRDefault="002F6226" w:rsidP="004351B0">
      <w:pPr>
        <w:pStyle w:val="ASRBodyText"/>
      </w:pPr>
      <w:r>
        <w:t>Alth</w:t>
      </w:r>
      <w:r w:rsidR="001E6CB9">
        <w:t>ough we</w:t>
      </w:r>
      <w:r>
        <w:t xml:space="preserve"> had</w:t>
      </w:r>
      <w:r w:rsidR="001E6CB9">
        <w:t xml:space="preserve"> above </w:t>
      </w:r>
      <w:r>
        <w:t xml:space="preserve">state average in </w:t>
      </w:r>
      <w:r w:rsidR="001E6CB9">
        <w:t>the number of students in the top three bands we are slightly underrepresented in the top two bands. It was pleasing to see that we have less numbers than average in the bottom two bands.</w:t>
      </w:r>
      <w:r>
        <w:t xml:space="preserve"> Our average score was just below state average.</w:t>
      </w:r>
    </w:p>
    <w:p w:rsidR="00020319" w:rsidRDefault="00020319"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020319" w:rsidRDefault="0005110A" w:rsidP="004351B0">
      <w:pPr>
        <w:pStyle w:val="ASRBodyText"/>
      </w:pPr>
      <w:r w:rsidRPr="0005110A">
        <w:rPr>
          <w:noProof/>
          <w:lang w:val="en-AU" w:eastAsia="en-AU" w:bidi="ar-SA"/>
        </w:rPr>
        <w:lastRenderedPageBreak/>
        <w:drawing>
          <wp:inline distT="0" distB="0" distL="0" distR="0">
            <wp:extent cx="2835275" cy="1585240"/>
            <wp:effectExtent l="19050" t="0" r="317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835275" cy="1585240"/>
                    </a:xfrm>
                    <a:prstGeom prst="rect">
                      <a:avLst/>
                    </a:prstGeom>
                    <a:noFill/>
                    <a:ln w="9525">
                      <a:noFill/>
                      <a:miter lim="800000"/>
                      <a:headEnd/>
                      <a:tailEnd/>
                    </a:ln>
                  </pic:spPr>
                </pic:pic>
              </a:graphicData>
            </a:graphic>
          </wp:inline>
        </w:drawing>
      </w:r>
    </w:p>
    <w:p w:rsidR="00020319" w:rsidRDefault="00020319" w:rsidP="004351B0">
      <w:pPr>
        <w:pStyle w:val="ASRBodyText"/>
      </w:pPr>
    </w:p>
    <w:p w:rsidR="0030445C" w:rsidRDefault="001E6CB9" w:rsidP="004351B0">
      <w:pPr>
        <w:pStyle w:val="ASRBodyText"/>
      </w:pPr>
      <w:r w:rsidRPr="001E6CB9">
        <w:rPr>
          <w:noProof/>
          <w:lang w:val="en-AU" w:eastAsia="en-AU" w:bidi="ar-SA"/>
        </w:rPr>
        <w:drawing>
          <wp:inline distT="0" distB="0" distL="0" distR="0">
            <wp:extent cx="2814402" cy="3304383"/>
            <wp:effectExtent l="19050" t="0" r="2404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445C" w:rsidRDefault="00A6464C" w:rsidP="004351B0">
      <w:pPr>
        <w:pStyle w:val="ASRBodyText"/>
      </w:pPr>
      <w:r>
        <w:t>Our school average score was just above like school average and 12 points below state average. As with Spelling we had fewer students in Band 6 than the rest of the state but above average in the top three bands. It was pleasing to note that we had fewer than our like schools or state average in the lower three bands.</w:t>
      </w: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Pr="000A11D6" w:rsidRDefault="00C67A6B" w:rsidP="004351B0">
      <w:pPr>
        <w:pStyle w:val="ASRBodyText"/>
      </w:pPr>
    </w:p>
    <w:p w:rsidR="00020319" w:rsidRPr="00020319" w:rsidRDefault="009974E3" w:rsidP="00FD59D8">
      <w:pPr>
        <w:pStyle w:val="ASRHeading3"/>
        <w:outlineLvl w:val="2"/>
      </w:pPr>
      <w:bookmarkStart w:id="25" w:name="_Toc306703585"/>
      <w:r w:rsidRPr="000A11D6">
        <w:lastRenderedPageBreak/>
        <w:t>Numeracy – NAPLAN Year 3</w:t>
      </w:r>
      <w:bookmarkEnd w:id="25"/>
    </w:p>
    <w:p w:rsidR="00020319" w:rsidRDefault="00020319" w:rsidP="00FD59D8">
      <w:pPr>
        <w:pStyle w:val="ASRHeading3"/>
        <w:outlineLvl w:val="2"/>
        <w:rPr>
          <w:b w:val="0"/>
        </w:rPr>
      </w:pPr>
      <w:r w:rsidRPr="00020319">
        <w:rPr>
          <w:noProof/>
          <w:lang w:val="en-AU" w:eastAsia="en-AU" w:bidi="ar-SA"/>
        </w:rPr>
        <w:drawing>
          <wp:inline distT="0" distB="0" distL="0" distR="0">
            <wp:extent cx="2835275" cy="1585240"/>
            <wp:effectExtent l="19050" t="0" r="317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835275" cy="1585240"/>
                    </a:xfrm>
                    <a:prstGeom prst="rect">
                      <a:avLst/>
                    </a:prstGeom>
                    <a:noFill/>
                    <a:ln w="9525">
                      <a:noFill/>
                      <a:miter lim="800000"/>
                      <a:headEnd/>
                      <a:tailEnd/>
                    </a:ln>
                  </pic:spPr>
                </pic:pic>
              </a:graphicData>
            </a:graphic>
          </wp:inline>
        </w:drawing>
      </w:r>
    </w:p>
    <w:p w:rsidR="00020319" w:rsidRPr="00020319" w:rsidRDefault="00020319" w:rsidP="00FD59D8">
      <w:pPr>
        <w:pStyle w:val="ASRHeading3"/>
        <w:outlineLvl w:val="2"/>
        <w:rPr>
          <w:b w:val="0"/>
        </w:rPr>
      </w:pPr>
    </w:p>
    <w:p w:rsidR="009974E3" w:rsidRDefault="0030445C" w:rsidP="004351B0">
      <w:pPr>
        <w:pStyle w:val="ASRBodyText"/>
      </w:pPr>
      <w:r w:rsidRPr="0030445C">
        <w:rPr>
          <w:noProof/>
          <w:lang w:val="en-AU" w:eastAsia="en-AU" w:bidi="ar-SA"/>
        </w:rPr>
        <w:drawing>
          <wp:inline distT="0" distB="0" distL="0" distR="0">
            <wp:extent cx="2831210" cy="3328196"/>
            <wp:effectExtent l="19050" t="0" r="26290" b="5554"/>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445C" w:rsidRPr="000A11D6" w:rsidRDefault="00020319" w:rsidP="004351B0">
      <w:pPr>
        <w:pStyle w:val="ASRBodyText"/>
      </w:pPr>
      <w:r>
        <w:t>As can be seen the percentage of students in the top two bands is above state and regional average. The school had 47.2 % of students in the top two bands compared with 36.4% of the state and 31.4% of similar schools to us. It was most pleasing that there were no students in Band 1</w:t>
      </w:r>
      <w:r w:rsidR="00F244A4">
        <w:t>.</w:t>
      </w:r>
    </w:p>
    <w:p w:rsidR="00C67A6B" w:rsidRDefault="00C67A6B" w:rsidP="00FD59D8">
      <w:pPr>
        <w:pStyle w:val="ASRHeading3"/>
        <w:outlineLvl w:val="2"/>
      </w:pPr>
      <w:bookmarkStart w:id="26" w:name="_Toc306703586"/>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9974E3" w:rsidRDefault="009974E3" w:rsidP="00FD59D8">
      <w:pPr>
        <w:pStyle w:val="ASRHeading3"/>
        <w:outlineLvl w:val="2"/>
      </w:pPr>
      <w:r w:rsidRPr="000A11D6">
        <w:lastRenderedPageBreak/>
        <w:t>Literacy – NAPLAN Year 5</w:t>
      </w:r>
      <w:bookmarkEnd w:id="26"/>
    </w:p>
    <w:p w:rsidR="0005110A" w:rsidRPr="000A11D6" w:rsidRDefault="00ED5768" w:rsidP="00FD59D8">
      <w:pPr>
        <w:pStyle w:val="ASRHeading3"/>
        <w:outlineLvl w:val="2"/>
      </w:pPr>
      <w:r w:rsidRPr="00ED5768">
        <w:rPr>
          <w:noProof/>
          <w:lang w:val="en-AU" w:eastAsia="en-AU" w:bidi="ar-SA"/>
        </w:rPr>
        <w:drawing>
          <wp:inline distT="0" distB="0" distL="0" distR="0">
            <wp:extent cx="2835275" cy="1577469"/>
            <wp:effectExtent l="19050" t="0" r="3175"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835275" cy="1577469"/>
                    </a:xfrm>
                    <a:prstGeom prst="rect">
                      <a:avLst/>
                    </a:prstGeom>
                    <a:noFill/>
                    <a:ln w="9525">
                      <a:noFill/>
                      <a:miter lim="800000"/>
                      <a:headEnd/>
                      <a:tailEnd/>
                    </a:ln>
                  </pic:spPr>
                </pic:pic>
              </a:graphicData>
            </a:graphic>
          </wp:inline>
        </w:drawing>
      </w:r>
    </w:p>
    <w:p w:rsidR="0030445C" w:rsidRDefault="0030445C" w:rsidP="004351B0">
      <w:pPr>
        <w:pStyle w:val="ASRBodyText"/>
      </w:pPr>
      <w:r w:rsidRPr="0030445C">
        <w:rPr>
          <w:noProof/>
          <w:lang w:val="en-AU" w:eastAsia="en-AU" w:bidi="ar-SA"/>
        </w:rPr>
        <w:drawing>
          <wp:inline distT="0" distB="0" distL="0" distR="0">
            <wp:extent cx="2820004" cy="3304383"/>
            <wp:effectExtent l="19050" t="0" r="18446"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445C" w:rsidRDefault="00E453B5" w:rsidP="004351B0">
      <w:pPr>
        <w:pStyle w:val="ASRBodyText"/>
      </w:pPr>
      <w:r>
        <w:t>Although we had higher than state average in the top three bands we had a lower than average in the top two bands. We had around state average in the bottom two bands.</w:t>
      </w:r>
    </w:p>
    <w:p w:rsidR="00ED5768" w:rsidRDefault="00ED5768"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ED5768" w:rsidRDefault="00ED5768" w:rsidP="004351B0">
      <w:pPr>
        <w:pStyle w:val="ASRBodyText"/>
      </w:pPr>
      <w:r w:rsidRPr="00ED5768">
        <w:rPr>
          <w:noProof/>
          <w:lang w:val="en-AU" w:eastAsia="en-AU" w:bidi="ar-SA"/>
        </w:rPr>
        <w:lastRenderedPageBreak/>
        <w:drawing>
          <wp:inline distT="0" distB="0" distL="0" distR="0">
            <wp:extent cx="2835275" cy="1431536"/>
            <wp:effectExtent l="19050" t="0" r="3175"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835275" cy="1431536"/>
                    </a:xfrm>
                    <a:prstGeom prst="rect">
                      <a:avLst/>
                    </a:prstGeom>
                    <a:noFill/>
                    <a:ln w="9525">
                      <a:noFill/>
                      <a:miter lim="800000"/>
                      <a:headEnd/>
                      <a:tailEnd/>
                    </a:ln>
                  </pic:spPr>
                </pic:pic>
              </a:graphicData>
            </a:graphic>
          </wp:inline>
        </w:drawing>
      </w:r>
    </w:p>
    <w:p w:rsidR="0030445C" w:rsidRDefault="00302B09" w:rsidP="004351B0">
      <w:pPr>
        <w:pStyle w:val="ASRBodyText"/>
      </w:pPr>
      <w:r w:rsidRPr="00302B09">
        <w:rPr>
          <w:noProof/>
          <w:lang w:val="en-AU" w:eastAsia="en-AU" w:bidi="ar-SA"/>
        </w:rPr>
        <w:drawing>
          <wp:inline distT="0" distB="0" distL="0" distR="0">
            <wp:extent cx="2814401" cy="3304383"/>
            <wp:effectExtent l="19050" t="0" r="24049" b="0"/>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0445C" w:rsidRDefault="002F6226" w:rsidP="004351B0">
      <w:pPr>
        <w:pStyle w:val="ASRBodyText"/>
      </w:pPr>
      <w:r>
        <w:t>Although we had just below the state average score i</w:t>
      </w:r>
      <w:r w:rsidR="00E453B5">
        <w:t xml:space="preserve">t was disappointing that we did not have any students in Band 8. This will be one of </w:t>
      </w:r>
      <w:r>
        <w:t>our priority areas for</w:t>
      </w:r>
      <w:r w:rsidR="00E453B5">
        <w:t xml:space="preserve"> 2012.</w:t>
      </w:r>
    </w:p>
    <w:p w:rsidR="00ED5768" w:rsidRDefault="00ED5768"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ED5768" w:rsidRDefault="00ED5768" w:rsidP="004351B0">
      <w:pPr>
        <w:pStyle w:val="ASRBodyText"/>
      </w:pPr>
      <w:r w:rsidRPr="00ED5768">
        <w:rPr>
          <w:noProof/>
          <w:lang w:val="en-AU" w:eastAsia="en-AU" w:bidi="ar-SA"/>
        </w:rPr>
        <w:lastRenderedPageBreak/>
        <w:drawing>
          <wp:inline distT="0" distB="0" distL="0" distR="0">
            <wp:extent cx="2835275" cy="1577469"/>
            <wp:effectExtent l="19050" t="0" r="3175"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2835275" cy="1577469"/>
                    </a:xfrm>
                    <a:prstGeom prst="rect">
                      <a:avLst/>
                    </a:prstGeom>
                    <a:noFill/>
                    <a:ln w="9525">
                      <a:noFill/>
                      <a:miter lim="800000"/>
                      <a:headEnd/>
                      <a:tailEnd/>
                    </a:ln>
                  </pic:spPr>
                </pic:pic>
              </a:graphicData>
            </a:graphic>
          </wp:inline>
        </w:drawing>
      </w:r>
    </w:p>
    <w:p w:rsidR="0030445C" w:rsidRDefault="00302B09" w:rsidP="004351B0">
      <w:pPr>
        <w:pStyle w:val="ASRBodyText"/>
      </w:pPr>
      <w:r w:rsidRPr="00302B09">
        <w:rPr>
          <w:noProof/>
          <w:lang w:val="en-AU" w:eastAsia="en-AU" w:bidi="ar-SA"/>
        </w:rPr>
        <w:drawing>
          <wp:inline distT="0" distB="0" distL="0" distR="0">
            <wp:extent cx="2820005" cy="3304383"/>
            <wp:effectExtent l="19050" t="0" r="18445" b="0"/>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02B09" w:rsidRDefault="005C0E51" w:rsidP="004351B0">
      <w:pPr>
        <w:pStyle w:val="ASRBodyText"/>
      </w:pPr>
      <w:r>
        <w:t>It was disappointing that our average score was 4 points below similar schools and 14 points below state average. Although we had more than average in Band 7 we were underrepresented in Band 8. Spelling will be a focus area next year.</w:t>
      </w:r>
    </w:p>
    <w:p w:rsidR="00ED5768" w:rsidRDefault="00ED5768"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C67A6B" w:rsidRDefault="00C67A6B" w:rsidP="004351B0">
      <w:pPr>
        <w:pStyle w:val="ASRBodyText"/>
      </w:pPr>
    </w:p>
    <w:p w:rsidR="00ED5768" w:rsidRDefault="00ED5768" w:rsidP="004351B0">
      <w:pPr>
        <w:pStyle w:val="ASRBodyText"/>
      </w:pPr>
      <w:r w:rsidRPr="00ED5768">
        <w:rPr>
          <w:noProof/>
          <w:lang w:val="en-AU" w:eastAsia="en-AU" w:bidi="ar-SA"/>
        </w:rPr>
        <w:lastRenderedPageBreak/>
        <w:drawing>
          <wp:inline distT="0" distB="0" distL="0" distR="0">
            <wp:extent cx="2835275" cy="1577469"/>
            <wp:effectExtent l="19050" t="0" r="3175" b="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2835275" cy="1577469"/>
                    </a:xfrm>
                    <a:prstGeom prst="rect">
                      <a:avLst/>
                    </a:prstGeom>
                    <a:noFill/>
                    <a:ln w="9525">
                      <a:noFill/>
                      <a:miter lim="800000"/>
                      <a:headEnd/>
                      <a:tailEnd/>
                    </a:ln>
                  </pic:spPr>
                </pic:pic>
              </a:graphicData>
            </a:graphic>
          </wp:inline>
        </w:drawing>
      </w:r>
    </w:p>
    <w:p w:rsidR="00302B09" w:rsidRDefault="00302B09" w:rsidP="004351B0">
      <w:pPr>
        <w:pStyle w:val="ASRBodyText"/>
      </w:pPr>
      <w:r w:rsidRPr="00302B09">
        <w:rPr>
          <w:noProof/>
          <w:lang w:val="en-AU" w:eastAsia="en-AU" w:bidi="ar-SA"/>
        </w:rPr>
        <w:drawing>
          <wp:inline distT="0" distB="0" distL="0" distR="0">
            <wp:extent cx="2814401" cy="3304383"/>
            <wp:effectExtent l="19050" t="0" r="24049" b="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2B09" w:rsidRPr="000A11D6" w:rsidRDefault="005C0E51" w:rsidP="004351B0">
      <w:pPr>
        <w:pStyle w:val="ASRBodyText"/>
      </w:pPr>
      <w:r>
        <w:t>It was most pleasing that we had more than the state average in the top band</w:t>
      </w:r>
      <w:r w:rsidR="00B67C7A">
        <w:t xml:space="preserve"> and more than similar schools in the top three bands. Our average score was also higher than the state average.</w:t>
      </w:r>
    </w:p>
    <w:p w:rsidR="00C67A6B" w:rsidRDefault="00C67A6B" w:rsidP="00FD59D8">
      <w:pPr>
        <w:pStyle w:val="ASRHeading3"/>
        <w:outlineLvl w:val="2"/>
      </w:pPr>
      <w:bookmarkStart w:id="27" w:name="_Toc306703592"/>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05110A" w:rsidRDefault="0005110A" w:rsidP="00FD59D8">
      <w:pPr>
        <w:pStyle w:val="ASRHeading3"/>
        <w:outlineLvl w:val="2"/>
      </w:pPr>
      <w:r>
        <w:lastRenderedPageBreak/>
        <w:t>Numeracy – NAPLAN Year 5</w:t>
      </w:r>
    </w:p>
    <w:p w:rsidR="0005110A" w:rsidRDefault="0005110A" w:rsidP="00FD59D8">
      <w:pPr>
        <w:pStyle w:val="ASRHeading3"/>
        <w:outlineLvl w:val="2"/>
      </w:pPr>
      <w:r w:rsidRPr="0005110A">
        <w:rPr>
          <w:noProof/>
          <w:lang w:val="en-AU" w:eastAsia="en-AU" w:bidi="ar-SA"/>
        </w:rPr>
        <w:drawing>
          <wp:inline distT="0" distB="0" distL="0" distR="0">
            <wp:extent cx="2835275" cy="1577469"/>
            <wp:effectExtent l="19050" t="0" r="3175"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2835275" cy="1577469"/>
                    </a:xfrm>
                    <a:prstGeom prst="rect">
                      <a:avLst/>
                    </a:prstGeom>
                    <a:noFill/>
                    <a:ln w="9525">
                      <a:noFill/>
                      <a:miter lim="800000"/>
                      <a:headEnd/>
                      <a:tailEnd/>
                    </a:ln>
                  </pic:spPr>
                </pic:pic>
              </a:graphicData>
            </a:graphic>
          </wp:inline>
        </w:drawing>
      </w:r>
    </w:p>
    <w:p w:rsidR="0005110A" w:rsidRDefault="00ED5768" w:rsidP="00FD59D8">
      <w:pPr>
        <w:pStyle w:val="ASRHeading3"/>
        <w:outlineLvl w:val="2"/>
      </w:pPr>
      <w:r w:rsidRPr="00ED5768">
        <w:rPr>
          <w:noProof/>
          <w:lang w:val="en-AU" w:eastAsia="en-AU" w:bidi="ar-SA"/>
        </w:rPr>
        <w:drawing>
          <wp:inline distT="0" distB="0" distL="0" distR="0">
            <wp:extent cx="2827709" cy="3308586"/>
            <wp:effectExtent l="19050" t="0" r="10741" b="6114"/>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D5768" w:rsidRPr="009602D3" w:rsidRDefault="009602D3" w:rsidP="00FD59D8">
      <w:pPr>
        <w:pStyle w:val="ASRHeading3"/>
        <w:outlineLvl w:val="2"/>
        <w:rPr>
          <w:b w:val="0"/>
        </w:rPr>
      </w:pPr>
      <w:r>
        <w:rPr>
          <w:b w:val="0"/>
        </w:rPr>
        <w:t xml:space="preserve">It was again pleasing that we were above </w:t>
      </w:r>
      <w:r w:rsidR="00570CB0">
        <w:rPr>
          <w:b w:val="0"/>
        </w:rPr>
        <w:t xml:space="preserve">state and SSG average in the top three bands and only a few in the bottom two bands. </w:t>
      </w:r>
      <w:r w:rsidR="0019392E">
        <w:rPr>
          <w:b w:val="0"/>
        </w:rPr>
        <w:t>Our average score was also above state average which was most pleasing.</w:t>
      </w: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C67A6B" w:rsidRDefault="00C67A6B" w:rsidP="00FD59D8">
      <w:pPr>
        <w:pStyle w:val="ASRHeading3"/>
        <w:outlineLvl w:val="2"/>
      </w:pPr>
    </w:p>
    <w:p w:rsidR="00302B09" w:rsidRPr="000A11D6" w:rsidRDefault="009974E3" w:rsidP="005967A4">
      <w:pPr>
        <w:pStyle w:val="ASRHeading3"/>
        <w:outlineLvl w:val="2"/>
      </w:pPr>
      <w:r w:rsidRPr="000A11D6">
        <w:lastRenderedPageBreak/>
        <w:t>Progress in literacy</w:t>
      </w:r>
      <w:bookmarkEnd w:id="27"/>
      <w:r w:rsidRPr="000A11D6">
        <w:t xml:space="preserve"> </w:t>
      </w:r>
    </w:p>
    <w:tbl>
      <w:tblPr>
        <w:tblW w:w="4543" w:type="dxa"/>
        <w:tblInd w:w="103" w:type="dxa"/>
        <w:tblLook w:val="04A0"/>
      </w:tblPr>
      <w:tblGrid>
        <w:gridCol w:w="1439"/>
        <w:gridCol w:w="1552"/>
        <w:gridCol w:w="1552"/>
      </w:tblGrid>
      <w:tr w:rsidR="00302B09" w:rsidRPr="00302B09" w:rsidTr="00302B09">
        <w:trPr>
          <w:trHeight w:val="290"/>
        </w:trPr>
        <w:tc>
          <w:tcPr>
            <w:tcW w:w="4543" w:type="dxa"/>
            <w:gridSpan w:val="3"/>
            <w:tcBorders>
              <w:top w:val="single" w:sz="4" w:space="0" w:color="7F7F7F"/>
              <w:left w:val="single" w:sz="4" w:space="0" w:color="7F7F7F"/>
              <w:bottom w:val="nil"/>
              <w:right w:val="single" w:sz="4" w:space="0" w:color="7F7F7F"/>
            </w:tcBorders>
            <w:shd w:val="clear" w:color="000000" w:fill="auto"/>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Average progress in Reading</w:t>
            </w:r>
          </w:p>
        </w:tc>
      </w:tr>
      <w:tr w:rsidR="00302B09" w:rsidRPr="00302B09" w:rsidTr="00302B09">
        <w:trPr>
          <w:trHeight w:val="276"/>
        </w:trPr>
        <w:tc>
          <w:tcPr>
            <w:tcW w:w="4543" w:type="dxa"/>
            <w:gridSpan w:val="3"/>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between Year 3 and 5*</w:t>
            </w:r>
          </w:p>
        </w:tc>
      </w:tr>
      <w:tr w:rsidR="00302B09" w:rsidRPr="00302B09" w:rsidTr="00302B09">
        <w:trPr>
          <w:trHeight w:val="276"/>
        </w:trPr>
        <w:tc>
          <w:tcPr>
            <w:tcW w:w="143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 </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2008-2010</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2009-2011</w:t>
            </w:r>
          </w:p>
        </w:tc>
      </w:tr>
      <w:tr w:rsidR="00302B09" w:rsidRPr="00302B09" w:rsidTr="00302B09">
        <w:trPr>
          <w:trHeight w:val="276"/>
        </w:trPr>
        <w:tc>
          <w:tcPr>
            <w:tcW w:w="143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School</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106.4</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98.2</w:t>
            </w:r>
          </w:p>
        </w:tc>
      </w:tr>
      <w:tr w:rsidR="00302B09" w:rsidRPr="00302B09" w:rsidTr="00302B09">
        <w:trPr>
          <w:trHeight w:val="276"/>
        </w:trPr>
        <w:tc>
          <w:tcPr>
            <w:tcW w:w="143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SSG</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83.5</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75.9</w:t>
            </w:r>
          </w:p>
        </w:tc>
      </w:tr>
      <w:tr w:rsidR="00302B09" w:rsidRPr="00302B09" w:rsidTr="00302B09">
        <w:trPr>
          <w:trHeight w:val="276"/>
        </w:trPr>
        <w:tc>
          <w:tcPr>
            <w:tcW w:w="143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State DEC</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83.7</w:t>
            </w:r>
          </w:p>
        </w:tc>
        <w:tc>
          <w:tcPr>
            <w:tcW w:w="155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74.0</w:t>
            </w:r>
          </w:p>
        </w:tc>
      </w:tr>
    </w:tbl>
    <w:p w:rsidR="00302B09" w:rsidRDefault="00302B09" w:rsidP="004351B0">
      <w:pPr>
        <w:pStyle w:val="ASRBodyText"/>
      </w:pPr>
    </w:p>
    <w:p w:rsidR="00302B09" w:rsidRDefault="00302B09" w:rsidP="004351B0">
      <w:pPr>
        <w:pStyle w:val="ASRBodyText"/>
      </w:pPr>
      <w:r w:rsidRPr="00302B09">
        <w:rPr>
          <w:noProof/>
          <w:lang w:val="en-AU" w:eastAsia="en-AU" w:bidi="ar-SA"/>
        </w:rPr>
        <w:drawing>
          <wp:inline distT="0" distB="0" distL="0" distR="0">
            <wp:extent cx="2835275" cy="1957903"/>
            <wp:effectExtent l="19050" t="0" r="22225" b="4247"/>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02B09" w:rsidRDefault="0019392E" w:rsidP="004351B0">
      <w:pPr>
        <w:pStyle w:val="ASRBodyText"/>
      </w:pPr>
      <w:r>
        <w:t xml:space="preserve">71.9% of </w:t>
      </w:r>
      <w:r w:rsidR="00EA71BD">
        <w:t xml:space="preserve">our </w:t>
      </w:r>
      <w:r>
        <w:t xml:space="preserve">students reached expected growth in </w:t>
      </w:r>
      <w:r w:rsidR="008B6446">
        <w:t xml:space="preserve">Reading, </w:t>
      </w:r>
      <w:r w:rsidR="00EA71BD">
        <w:t xml:space="preserve">with our average growth being </w:t>
      </w:r>
      <w:r>
        <w:t>24 points above stat</w:t>
      </w:r>
      <w:r w:rsidR="00EA71BD">
        <w:t>e average</w:t>
      </w:r>
      <w:r>
        <w:t xml:space="preserve">. </w:t>
      </w:r>
    </w:p>
    <w:tbl>
      <w:tblPr>
        <w:tblW w:w="4800" w:type="dxa"/>
        <w:tblInd w:w="103" w:type="dxa"/>
        <w:tblLook w:val="04A0"/>
      </w:tblPr>
      <w:tblGrid>
        <w:gridCol w:w="1520"/>
        <w:gridCol w:w="1640"/>
        <w:gridCol w:w="1640"/>
      </w:tblGrid>
      <w:tr w:rsidR="00302B09" w:rsidRPr="00302B09" w:rsidTr="00302B09">
        <w:trPr>
          <w:trHeight w:val="315"/>
        </w:trPr>
        <w:tc>
          <w:tcPr>
            <w:tcW w:w="4800" w:type="dxa"/>
            <w:gridSpan w:val="3"/>
            <w:tcBorders>
              <w:top w:val="single" w:sz="4" w:space="0" w:color="7F7F7F"/>
              <w:left w:val="single" w:sz="4" w:space="0" w:color="7F7F7F"/>
              <w:bottom w:val="nil"/>
              <w:right w:val="single" w:sz="4" w:space="0" w:color="7F7F7F"/>
            </w:tcBorders>
            <w:shd w:val="clear" w:color="000000" w:fill="auto"/>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 xml:space="preserve">Average progress in Spelling </w:t>
            </w:r>
          </w:p>
        </w:tc>
      </w:tr>
      <w:tr w:rsidR="00302B09" w:rsidRPr="00302B09" w:rsidTr="00302B09">
        <w:trPr>
          <w:trHeight w:val="300"/>
        </w:trPr>
        <w:tc>
          <w:tcPr>
            <w:tcW w:w="4800" w:type="dxa"/>
            <w:gridSpan w:val="3"/>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between Year 3 and 5*</w:t>
            </w:r>
          </w:p>
        </w:tc>
      </w:tr>
      <w:tr w:rsidR="00302B09" w:rsidRPr="00302B09" w:rsidTr="00302B09">
        <w:trPr>
          <w:trHeight w:val="300"/>
        </w:trPr>
        <w:tc>
          <w:tcPr>
            <w:tcW w:w="1520"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 </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2008-2010</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2009-2011</w:t>
            </w:r>
          </w:p>
        </w:tc>
      </w:tr>
      <w:tr w:rsidR="00302B09" w:rsidRPr="00302B09" w:rsidTr="00302B09">
        <w:trPr>
          <w:trHeight w:val="300"/>
        </w:trPr>
        <w:tc>
          <w:tcPr>
            <w:tcW w:w="1520"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School</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86.1</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81.2</w:t>
            </w:r>
          </w:p>
        </w:tc>
      </w:tr>
      <w:tr w:rsidR="00302B09" w:rsidRPr="00302B09" w:rsidTr="00302B09">
        <w:trPr>
          <w:trHeight w:val="300"/>
        </w:trPr>
        <w:tc>
          <w:tcPr>
            <w:tcW w:w="1520"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SSG</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85.4</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74.6</w:t>
            </w:r>
          </w:p>
        </w:tc>
      </w:tr>
      <w:tr w:rsidR="00302B09" w:rsidRPr="00302B09" w:rsidTr="00302B09">
        <w:trPr>
          <w:trHeight w:val="300"/>
        </w:trPr>
        <w:tc>
          <w:tcPr>
            <w:tcW w:w="1520"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State DEC</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84.5</w:t>
            </w:r>
          </w:p>
        </w:tc>
        <w:tc>
          <w:tcPr>
            <w:tcW w:w="1640"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75.4</w:t>
            </w:r>
          </w:p>
        </w:tc>
      </w:tr>
    </w:tbl>
    <w:p w:rsidR="00302B09" w:rsidRDefault="00302B09" w:rsidP="004351B0">
      <w:pPr>
        <w:pStyle w:val="ASRBodyText"/>
      </w:pPr>
    </w:p>
    <w:p w:rsidR="00302B09" w:rsidRDefault="00302B09" w:rsidP="004351B0">
      <w:pPr>
        <w:pStyle w:val="ASRBodyText"/>
      </w:pPr>
      <w:r w:rsidRPr="00302B09">
        <w:rPr>
          <w:noProof/>
          <w:lang w:val="en-AU" w:eastAsia="en-AU" w:bidi="ar-SA"/>
        </w:rPr>
        <w:drawing>
          <wp:inline distT="0" distB="0" distL="0" distR="0">
            <wp:extent cx="2835275" cy="1956683"/>
            <wp:effectExtent l="19050" t="0" r="22225" b="5467"/>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A71BD" w:rsidRDefault="00BE37E9" w:rsidP="00EA71BD">
      <w:pPr>
        <w:pStyle w:val="ASRBodyText"/>
      </w:pPr>
      <w:r>
        <w:t>65.6</w:t>
      </w:r>
      <w:r w:rsidR="00EA71BD">
        <w:t>% of our students reached expected growth in</w:t>
      </w:r>
      <w:r w:rsidR="008B6446">
        <w:t xml:space="preserve"> Spelling,</w:t>
      </w:r>
      <w:r w:rsidR="00EA71BD">
        <w:t xml:space="preserve"> with our average growth being </w:t>
      </w:r>
      <w:r>
        <w:t>6</w:t>
      </w:r>
      <w:r w:rsidR="00EA71BD">
        <w:t xml:space="preserve"> points above state average. </w:t>
      </w:r>
    </w:p>
    <w:p w:rsidR="00302B09" w:rsidRDefault="00302B09" w:rsidP="004351B0">
      <w:pPr>
        <w:pStyle w:val="ASRBodyText"/>
      </w:pPr>
    </w:p>
    <w:p w:rsidR="005967A4" w:rsidRDefault="005967A4" w:rsidP="004351B0">
      <w:pPr>
        <w:pStyle w:val="ASRBodyText"/>
      </w:pPr>
    </w:p>
    <w:tbl>
      <w:tblPr>
        <w:tblW w:w="4574" w:type="dxa"/>
        <w:tblInd w:w="103" w:type="dxa"/>
        <w:tblLook w:val="04A0"/>
      </w:tblPr>
      <w:tblGrid>
        <w:gridCol w:w="1448"/>
        <w:gridCol w:w="1563"/>
        <w:gridCol w:w="1563"/>
      </w:tblGrid>
      <w:tr w:rsidR="00302B09" w:rsidRPr="00302B09" w:rsidTr="00302B09">
        <w:trPr>
          <w:trHeight w:val="305"/>
        </w:trPr>
        <w:tc>
          <w:tcPr>
            <w:tcW w:w="4574" w:type="dxa"/>
            <w:gridSpan w:val="3"/>
            <w:vMerge w:val="restart"/>
            <w:tcBorders>
              <w:top w:val="single" w:sz="4" w:space="0" w:color="7F7F7F"/>
              <w:left w:val="single" w:sz="4" w:space="0" w:color="7F7F7F"/>
              <w:bottom w:val="single" w:sz="4" w:space="0" w:color="7F7F7F"/>
              <w:right w:val="single" w:sz="4" w:space="0" w:color="7F7F7F"/>
            </w:tcBorders>
            <w:shd w:val="clear" w:color="000000" w:fill="auto"/>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lastRenderedPageBreak/>
              <w:t>Average progress in Grammar &amp; Punctuation between Year 3 and 5*</w:t>
            </w:r>
          </w:p>
        </w:tc>
      </w:tr>
      <w:tr w:rsidR="00302B09" w:rsidRPr="00302B09" w:rsidTr="00302B09">
        <w:trPr>
          <w:trHeight w:val="305"/>
        </w:trPr>
        <w:tc>
          <w:tcPr>
            <w:tcW w:w="4574" w:type="dxa"/>
            <w:gridSpan w:val="3"/>
            <w:vMerge/>
            <w:tcBorders>
              <w:top w:val="single" w:sz="4" w:space="0" w:color="7F7F7F"/>
              <w:left w:val="single" w:sz="4" w:space="0" w:color="7F7F7F"/>
              <w:bottom w:val="single" w:sz="4" w:space="0" w:color="7F7F7F"/>
              <w:right w:val="single" w:sz="4" w:space="0" w:color="7F7F7F"/>
            </w:tcBorders>
            <w:vAlign w:val="center"/>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p>
        </w:tc>
      </w:tr>
      <w:tr w:rsidR="00302B09" w:rsidRPr="00302B09" w:rsidTr="00302B09">
        <w:trPr>
          <w:trHeight w:val="305"/>
        </w:trPr>
        <w:tc>
          <w:tcPr>
            <w:tcW w:w="1448"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 </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2008-2010</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2009-2011</w:t>
            </w:r>
          </w:p>
        </w:tc>
      </w:tr>
      <w:tr w:rsidR="00302B09" w:rsidRPr="00302B09" w:rsidTr="00302B09">
        <w:trPr>
          <w:trHeight w:val="291"/>
        </w:trPr>
        <w:tc>
          <w:tcPr>
            <w:tcW w:w="1448"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School</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146.9</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94.8</w:t>
            </w:r>
          </w:p>
        </w:tc>
      </w:tr>
      <w:tr w:rsidR="00302B09" w:rsidRPr="00302B09" w:rsidTr="00302B09">
        <w:trPr>
          <w:trHeight w:val="291"/>
        </w:trPr>
        <w:tc>
          <w:tcPr>
            <w:tcW w:w="1448"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SSG</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93.2</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78.2</w:t>
            </w:r>
          </w:p>
        </w:tc>
      </w:tr>
      <w:tr w:rsidR="00302B09" w:rsidRPr="00302B09" w:rsidTr="00302B09">
        <w:trPr>
          <w:trHeight w:val="291"/>
        </w:trPr>
        <w:tc>
          <w:tcPr>
            <w:tcW w:w="1448"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State DEC</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96.6</w:t>
            </w:r>
          </w:p>
        </w:tc>
        <w:tc>
          <w:tcPr>
            <w:tcW w:w="1563"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82.7</w:t>
            </w:r>
          </w:p>
        </w:tc>
      </w:tr>
    </w:tbl>
    <w:p w:rsidR="00302B09" w:rsidRDefault="00302B09" w:rsidP="004351B0">
      <w:pPr>
        <w:pStyle w:val="ASRBodyText"/>
      </w:pPr>
    </w:p>
    <w:p w:rsidR="00302B09" w:rsidRDefault="00302B09" w:rsidP="004351B0">
      <w:pPr>
        <w:pStyle w:val="ASRBodyText"/>
      </w:pPr>
      <w:r w:rsidRPr="00302B09">
        <w:rPr>
          <w:noProof/>
          <w:lang w:val="en-AU" w:eastAsia="en-AU" w:bidi="ar-SA"/>
        </w:rPr>
        <w:drawing>
          <wp:inline distT="0" distB="0" distL="0" distR="0">
            <wp:extent cx="2835275" cy="1934078"/>
            <wp:effectExtent l="19050" t="0" r="22225" b="9022"/>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E37E9" w:rsidRDefault="00BE37E9" w:rsidP="00BE37E9">
      <w:pPr>
        <w:pStyle w:val="ASRBodyText"/>
      </w:pPr>
      <w:r>
        <w:t xml:space="preserve">65.6% of our students reached expected growth in </w:t>
      </w:r>
      <w:r w:rsidR="008B6446">
        <w:t xml:space="preserve">Grammar &amp; Punctuation, </w:t>
      </w:r>
      <w:r>
        <w:t xml:space="preserve">with our average growth being 12 points above state average. </w:t>
      </w:r>
    </w:p>
    <w:p w:rsidR="008B6446" w:rsidRPr="000A11D6" w:rsidRDefault="008B6446" w:rsidP="004351B0">
      <w:pPr>
        <w:pStyle w:val="ASRBodyText"/>
      </w:pPr>
    </w:p>
    <w:p w:rsidR="009974E3" w:rsidRPr="000A11D6" w:rsidRDefault="009974E3" w:rsidP="00FD59D8">
      <w:pPr>
        <w:pStyle w:val="ASRHeading3"/>
        <w:outlineLvl w:val="2"/>
      </w:pPr>
      <w:bookmarkStart w:id="28" w:name="_Toc306703593"/>
      <w:r w:rsidRPr="000A11D6">
        <w:t>Progress in numeracy</w:t>
      </w:r>
      <w:bookmarkEnd w:id="28"/>
    </w:p>
    <w:tbl>
      <w:tblPr>
        <w:tblW w:w="4513" w:type="dxa"/>
        <w:tblInd w:w="103" w:type="dxa"/>
        <w:tblLook w:val="04A0"/>
      </w:tblPr>
      <w:tblGrid>
        <w:gridCol w:w="1429"/>
        <w:gridCol w:w="1542"/>
        <w:gridCol w:w="1542"/>
      </w:tblGrid>
      <w:tr w:rsidR="00302B09" w:rsidRPr="00302B09" w:rsidTr="00302B09">
        <w:trPr>
          <w:trHeight w:val="303"/>
        </w:trPr>
        <w:tc>
          <w:tcPr>
            <w:tcW w:w="4513" w:type="dxa"/>
            <w:gridSpan w:val="3"/>
            <w:tcBorders>
              <w:top w:val="single" w:sz="4" w:space="0" w:color="7F7F7F"/>
              <w:left w:val="single" w:sz="4" w:space="0" w:color="7F7F7F"/>
              <w:bottom w:val="nil"/>
              <w:right w:val="single" w:sz="4" w:space="0" w:color="7F7F7F"/>
            </w:tcBorders>
            <w:shd w:val="clear" w:color="000000" w:fill="auto"/>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Average progress in Numeracy</w:t>
            </w:r>
          </w:p>
        </w:tc>
      </w:tr>
      <w:tr w:rsidR="00302B09" w:rsidRPr="00302B09" w:rsidTr="00302B09">
        <w:trPr>
          <w:trHeight w:val="303"/>
        </w:trPr>
        <w:tc>
          <w:tcPr>
            <w:tcW w:w="4513" w:type="dxa"/>
            <w:gridSpan w:val="3"/>
            <w:tcBorders>
              <w:top w:val="nil"/>
              <w:left w:val="single" w:sz="4" w:space="0" w:color="7F7F7F"/>
              <w:bottom w:val="single" w:sz="4" w:space="0" w:color="7F7F7F"/>
              <w:right w:val="single" w:sz="4" w:space="0" w:color="7F7F7F"/>
            </w:tcBorders>
            <w:shd w:val="clear" w:color="000000" w:fill="auto"/>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between Year 3 and 5*</w:t>
            </w:r>
          </w:p>
        </w:tc>
      </w:tr>
      <w:tr w:rsidR="00302B09" w:rsidRPr="00302B09" w:rsidTr="00302B09">
        <w:trPr>
          <w:trHeight w:val="303"/>
        </w:trPr>
        <w:tc>
          <w:tcPr>
            <w:tcW w:w="142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 </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2008-2010</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2009-2011</w:t>
            </w:r>
          </w:p>
        </w:tc>
      </w:tr>
      <w:tr w:rsidR="00302B09" w:rsidRPr="00302B09" w:rsidTr="00302B09">
        <w:trPr>
          <w:trHeight w:val="288"/>
        </w:trPr>
        <w:tc>
          <w:tcPr>
            <w:tcW w:w="142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School</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114.0</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104.1</w:t>
            </w:r>
          </w:p>
        </w:tc>
      </w:tr>
      <w:tr w:rsidR="00302B09" w:rsidRPr="00302B09" w:rsidTr="00302B09">
        <w:trPr>
          <w:trHeight w:val="288"/>
        </w:trPr>
        <w:tc>
          <w:tcPr>
            <w:tcW w:w="142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SSG</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86.2</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94.1</w:t>
            </w:r>
          </w:p>
        </w:tc>
      </w:tr>
      <w:tr w:rsidR="00302B09" w:rsidRPr="00302B09" w:rsidTr="00302B09">
        <w:trPr>
          <w:trHeight w:val="288"/>
        </w:trPr>
        <w:tc>
          <w:tcPr>
            <w:tcW w:w="1429" w:type="dxa"/>
            <w:tcBorders>
              <w:top w:val="nil"/>
              <w:left w:val="single" w:sz="4" w:space="0" w:color="7F7F7F"/>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rPr>
                <w:rFonts w:ascii="Calibri" w:eastAsia="Times New Roman" w:hAnsi="Calibri" w:cs="Times New Roman"/>
                <w:b/>
                <w:bCs/>
                <w:color w:val="000000"/>
                <w:lang w:val="en-AU" w:eastAsia="en-AU" w:bidi="ar-SA"/>
              </w:rPr>
            </w:pPr>
            <w:r w:rsidRPr="00302B09">
              <w:rPr>
                <w:rFonts w:ascii="Calibri" w:eastAsia="Times New Roman" w:hAnsi="Calibri" w:cs="Times New Roman"/>
                <w:b/>
                <w:bCs/>
                <w:color w:val="000000"/>
                <w:lang w:val="en-AU" w:eastAsia="en-AU" w:bidi="ar-SA"/>
              </w:rPr>
              <w:t>State DEC</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89.6</w:t>
            </w:r>
          </w:p>
        </w:tc>
        <w:tc>
          <w:tcPr>
            <w:tcW w:w="1542" w:type="dxa"/>
            <w:tcBorders>
              <w:top w:val="nil"/>
              <w:left w:val="nil"/>
              <w:bottom w:val="single" w:sz="4" w:space="0" w:color="7F7F7F"/>
              <w:right w:val="single" w:sz="4" w:space="0" w:color="7F7F7F"/>
            </w:tcBorders>
            <w:shd w:val="clear" w:color="000000" w:fill="auto"/>
            <w:noWrap/>
            <w:vAlign w:val="bottom"/>
            <w:hideMark/>
          </w:tcPr>
          <w:p w:rsidR="00302B09" w:rsidRPr="00302B09" w:rsidRDefault="00302B09" w:rsidP="00302B09">
            <w:pPr>
              <w:spacing w:after="0" w:line="240" w:lineRule="auto"/>
              <w:jc w:val="center"/>
              <w:rPr>
                <w:rFonts w:ascii="Calibri" w:eastAsia="Times New Roman" w:hAnsi="Calibri" w:cs="Times New Roman"/>
                <w:color w:val="000000"/>
                <w:lang w:val="en-AU" w:eastAsia="en-AU" w:bidi="ar-SA"/>
              </w:rPr>
            </w:pPr>
            <w:r w:rsidRPr="00302B09">
              <w:rPr>
                <w:rFonts w:ascii="Calibri" w:eastAsia="Times New Roman" w:hAnsi="Calibri" w:cs="Times New Roman"/>
                <w:color w:val="000000"/>
                <w:lang w:val="en-AU" w:eastAsia="en-AU" w:bidi="ar-SA"/>
              </w:rPr>
              <w:t>95.8</w:t>
            </w:r>
          </w:p>
        </w:tc>
      </w:tr>
    </w:tbl>
    <w:p w:rsidR="00302B09" w:rsidRDefault="00302B09" w:rsidP="004351B0">
      <w:pPr>
        <w:pStyle w:val="ASRBodyText"/>
      </w:pPr>
    </w:p>
    <w:p w:rsidR="00302B09" w:rsidRDefault="00302B09" w:rsidP="004351B0">
      <w:pPr>
        <w:pStyle w:val="ASRBodyText"/>
      </w:pPr>
      <w:r w:rsidRPr="00302B09">
        <w:rPr>
          <w:noProof/>
          <w:lang w:val="en-AU" w:eastAsia="en-AU" w:bidi="ar-SA"/>
        </w:rPr>
        <w:drawing>
          <wp:inline distT="0" distB="0" distL="0" distR="0">
            <wp:extent cx="2835275" cy="1936578"/>
            <wp:effectExtent l="19050" t="0" r="22225" b="6522"/>
            <wp:docPr id="2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37E9" w:rsidRDefault="00BE37E9" w:rsidP="00BE37E9">
      <w:pPr>
        <w:pStyle w:val="ASRBodyText"/>
      </w:pPr>
      <w:r>
        <w:t xml:space="preserve">65.6% of our students reached expected growth in </w:t>
      </w:r>
      <w:r w:rsidR="008B6446">
        <w:t xml:space="preserve">Numeracy, </w:t>
      </w:r>
      <w:r>
        <w:t xml:space="preserve">with our average growth being 8 points above state average. </w:t>
      </w:r>
    </w:p>
    <w:p w:rsidR="00302B09" w:rsidRPr="000A11D6" w:rsidRDefault="00302B09" w:rsidP="004351B0">
      <w:pPr>
        <w:pStyle w:val="ASRBodyText"/>
      </w:pPr>
    </w:p>
    <w:p w:rsidR="009974E3" w:rsidRPr="000A11D6" w:rsidRDefault="009974E3" w:rsidP="00FD59D8">
      <w:pPr>
        <w:pStyle w:val="ASRHeading3"/>
        <w:outlineLvl w:val="2"/>
      </w:pPr>
      <w:bookmarkStart w:id="29" w:name="_Toc306703598"/>
      <w:r w:rsidRPr="000A11D6">
        <w:lastRenderedPageBreak/>
        <w:t>Minimum standards</w:t>
      </w:r>
      <w:bookmarkEnd w:id="29"/>
    </w:p>
    <w:p w:rsidR="009974E3" w:rsidRPr="0028578D" w:rsidRDefault="009974E3" w:rsidP="0028578D">
      <w:pPr>
        <w:pStyle w:val="ASRBodyText"/>
      </w:pPr>
      <w:r w:rsidRPr="0028578D">
        <w:t xml:space="preserve">The Commonwealth Government sets minimum standards for reading, writing, grammar and punctuation, spelling and numeracy for </w:t>
      </w:r>
      <w:r w:rsidR="00C15203">
        <w:t>Year</w:t>
      </w:r>
      <w:r w:rsidRPr="0028578D">
        <w:t xml:space="preserve">s 3, 5, 7 and 9. </w:t>
      </w:r>
    </w:p>
    <w:p w:rsidR="009974E3" w:rsidRPr="0028578D" w:rsidRDefault="009974E3" w:rsidP="0028578D">
      <w:pPr>
        <w:pStyle w:val="ASRBodyText"/>
      </w:pPr>
      <w:r w:rsidRPr="0028578D">
        <w:t>The performance of the students in our school in the National Assessment Program – Literacy and Numeracy is compared to these minimum standards. The percentages of our students achieving at or above these standards are reported below.</w:t>
      </w:r>
    </w:p>
    <w:p w:rsidR="00302B09" w:rsidRDefault="00302B09" w:rsidP="005F4E6B">
      <w:pPr>
        <w:pStyle w:val="ASRBodyText"/>
      </w:pPr>
      <w:bookmarkStart w:id="30" w:name="_Toc210703319"/>
      <w:bookmarkStart w:id="31" w:name="_Toc210703400"/>
      <w:bookmarkStart w:id="32" w:name="_Toc210703666"/>
      <w:r w:rsidRPr="00302B09">
        <w:rPr>
          <w:noProof/>
          <w:lang w:val="en-AU" w:eastAsia="en-AU" w:bidi="ar-SA"/>
        </w:rPr>
        <w:drawing>
          <wp:inline distT="0" distB="0" distL="0" distR="0">
            <wp:extent cx="2724150" cy="3333750"/>
            <wp:effectExtent l="1905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2724150" cy="3333750"/>
                    </a:xfrm>
                    <a:prstGeom prst="rect">
                      <a:avLst/>
                    </a:prstGeom>
                    <a:noFill/>
                    <a:ln w="9525">
                      <a:noFill/>
                      <a:miter lim="800000"/>
                      <a:headEnd/>
                      <a:tailEnd/>
                    </a:ln>
                  </pic:spPr>
                </pic:pic>
              </a:graphicData>
            </a:graphic>
          </wp:inline>
        </w:drawing>
      </w:r>
    </w:p>
    <w:p w:rsidR="008B6446" w:rsidRPr="005F4E6B" w:rsidRDefault="00302B09" w:rsidP="005F4E6B">
      <w:pPr>
        <w:pStyle w:val="ASRBodyText"/>
      </w:pPr>
      <w:r w:rsidRPr="00302B09">
        <w:rPr>
          <w:noProof/>
          <w:lang w:val="en-AU" w:eastAsia="en-AU" w:bidi="ar-SA"/>
        </w:rPr>
        <w:drawing>
          <wp:inline distT="0" distB="0" distL="0" distR="0">
            <wp:extent cx="2724150" cy="3467100"/>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2724150" cy="3467100"/>
                    </a:xfrm>
                    <a:prstGeom prst="rect">
                      <a:avLst/>
                    </a:prstGeom>
                    <a:noFill/>
                    <a:ln w="9525">
                      <a:noFill/>
                      <a:miter lim="800000"/>
                      <a:headEnd/>
                      <a:tailEnd/>
                    </a:ln>
                  </pic:spPr>
                </pic:pic>
              </a:graphicData>
            </a:graphic>
          </wp:inline>
        </w:drawing>
      </w:r>
    </w:p>
    <w:p w:rsidR="009974E3" w:rsidRPr="000A11D6" w:rsidRDefault="009974E3" w:rsidP="00FD59D8">
      <w:pPr>
        <w:pStyle w:val="ASRHeading2"/>
        <w:outlineLvl w:val="1"/>
      </w:pPr>
      <w:bookmarkStart w:id="33" w:name="_Toc306703599"/>
      <w:r w:rsidRPr="000A11D6">
        <w:lastRenderedPageBreak/>
        <w:t>Significant programs and initiatives</w:t>
      </w:r>
      <w:bookmarkEnd w:id="30"/>
      <w:bookmarkEnd w:id="31"/>
      <w:bookmarkEnd w:id="32"/>
      <w:bookmarkEnd w:id="33"/>
    </w:p>
    <w:p w:rsidR="009974E3" w:rsidRPr="000A11D6" w:rsidRDefault="009974E3" w:rsidP="00FD59D8">
      <w:pPr>
        <w:pStyle w:val="ASRHeading3"/>
        <w:outlineLvl w:val="2"/>
      </w:pPr>
      <w:bookmarkStart w:id="34" w:name="_Toc306703600"/>
      <w:r w:rsidRPr="000A11D6">
        <w:t>Aboriginal education</w:t>
      </w:r>
      <w:bookmarkEnd w:id="34"/>
    </w:p>
    <w:p w:rsidR="00BE37E9" w:rsidRDefault="00BE37E9" w:rsidP="00FD59D8">
      <w:pPr>
        <w:pStyle w:val="ASRHeading3"/>
        <w:outlineLvl w:val="2"/>
        <w:rPr>
          <w:rFonts w:asciiTheme="minorHAnsi" w:hAnsiTheme="minorHAnsi"/>
          <w:b w:val="0"/>
          <w:bCs w:val="0"/>
          <w:sz w:val="22"/>
          <w:szCs w:val="22"/>
        </w:rPr>
      </w:pPr>
      <w:bookmarkStart w:id="35" w:name="_Toc306703601"/>
      <w:r w:rsidRPr="00BE37E9">
        <w:rPr>
          <w:rFonts w:asciiTheme="minorHAnsi" w:hAnsiTheme="minorHAnsi"/>
          <w:b w:val="0"/>
          <w:bCs w:val="0"/>
          <w:sz w:val="22"/>
          <w:szCs w:val="22"/>
        </w:rPr>
        <w:t>Aboriginal history and culture is</w:t>
      </w:r>
      <w:r>
        <w:rPr>
          <w:rFonts w:asciiTheme="minorHAnsi" w:hAnsiTheme="minorHAnsi"/>
          <w:b w:val="0"/>
          <w:bCs w:val="0"/>
          <w:sz w:val="22"/>
          <w:szCs w:val="22"/>
        </w:rPr>
        <w:t xml:space="preserve"> valued across our school.  </w:t>
      </w:r>
      <w:r>
        <w:rPr>
          <w:rFonts w:asciiTheme="minorHAnsi" w:hAnsiTheme="minorHAnsi"/>
          <w:b w:val="0"/>
          <w:bCs w:val="0"/>
          <w:sz w:val="22"/>
          <w:szCs w:val="22"/>
        </w:rPr>
        <w:br/>
      </w:r>
      <w:r w:rsidRPr="00BE37E9">
        <w:rPr>
          <w:rFonts w:asciiTheme="minorHAnsi" w:hAnsiTheme="minorHAnsi"/>
          <w:b w:val="0"/>
          <w:bCs w:val="0"/>
          <w:sz w:val="22"/>
          <w:szCs w:val="22"/>
        </w:rPr>
        <w:t>This year, classroom programs included Aboriginal perspectives across the curriculum particularly in the English and Human, Society</w:t>
      </w:r>
      <w:r w:rsidR="000D117F">
        <w:rPr>
          <w:rFonts w:asciiTheme="minorHAnsi" w:hAnsiTheme="minorHAnsi"/>
          <w:b w:val="0"/>
          <w:bCs w:val="0"/>
          <w:sz w:val="22"/>
          <w:szCs w:val="22"/>
        </w:rPr>
        <w:t xml:space="preserve"> and Environment areas.</w:t>
      </w:r>
    </w:p>
    <w:p w:rsidR="00BE37E9" w:rsidRDefault="008B6446" w:rsidP="00FD59D8">
      <w:pPr>
        <w:pStyle w:val="ASRHeading3"/>
        <w:outlineLvl w:val="2"/>
        <w:rPr>
          <w:rFonts w:asciiTheme="minorHAnsi" w:hAnsiTheme="minorHAnsi"/>
          <w:b w:val="0"/>
          <w:bCs w:val="0"/>
          <w:sz w:val="22"/>
          <w:szCs w:val="22"/>
        </w:rPr>
      </w:pPr>
      <w:r>
        <w:rPr>
          <w:rFonts w:asciiTheme="minorHAnsi" w:hAnsiTheme="minorHAnsi"/>
          <w:b w:val="0"/>
          <w:bCs w:val="0"/>
          <w:sz w:val="22"/>
          <w:szCs w:val="22"/>
        </w:rPr>
        <w:t xml:space="preserve">Early Stage One classes studied Aboriginal Literature. </w:t>
      </w:r>
      <w:r w:rsidR="00BE37E9" w:rsidRPr="00BE37E9">
        <w:rPr>
          <w:rFonts w:asciiTheme="minorHAnsi" w:hAnsiTheme="minorHAnsi"/>
          <w:b w:val="0"/>
          <w:bCs w:val="0"/>
          <w:sz w:val="22"/>
          <w:szCs w:val="22"/>
        </w:rPr>
        <w:t>One class looked at Aboriginal Festivals during t</w:t>
      </w:r>
      <w:r w:rsidR="00BE37E9">
        <w:rPr>
          <w:rFonts w:asciiTheme="minorHAnsi" w:hAnsiTheme="minorHAnsi"/>
          <w:b w:val="0"/>
          <w:bCs w:val="0"/>
          <w:sz w:val="22"/>
          <w:szCs w:val="22"/>
        </w:rPr>
        <w:t>heir HSIE Unit on Celebrations</w:t>
      </w:r>
      <w:r>
        <w:rPr>
          <w:rFonts w:asciiTheme="minorHAnsi" w:hAnsiTheme="minorHAnsi"/>
          <w:b w:val="0"/>
          <w:bCs w:val="0"/>
          <w:sz w:val="22"/>
          <w:szCs w:val="22"/>
        </w:rPr>
        <w:t>.</w:t>
      </w:r>
      <w:r w:rsidR="00BE37E9">
        <w:rPr>
          <w:rFonts w:asciiTheme="minorHAnsi" w:hAnsiTheme="minorHAnsi"/>
          <w:b w:val="0"/>
          <w:bCs w:val="0"/>
          <w:sz w:val="22"/>
          <w:szCs w:val="22"/>
        </w:rPr>
        <w:t xml:space="preserve"> </w:t>
      </w:r>
    </w:p>
    <w:p w:rsidR="00BE37E9" w:rsidRPr="00BE37E9" w:rsidRDefault="00BE37E9" w:rsidP="00FD59D8">
      <w:pPr>
        <w:pStyle w:val="ASRHeading3"/>
        <w:outlineLvl w:val="2"/>
        <w:rPr>
          <w:rFonts w:asciiTheme="minorHAnsi" w:hAnsiTheme="minorHAnsi"/>
          <w:bCs w:val="0"/>
          <w:sz w:val="22"/>
          <w:szCs w:val="22"/>
        </w:rPr>
      </w:pPr>
      <w:proofErr w:type="spellStart"/>
      <w:r w:rsidRPr="00BE37E9">
        <w:rPr>
          <w:rFonts w:asciiTheme="minorHAnsi" w:hAnsiTheme="minorHAnsi"/>
          <w:bCs w:val="0"/>
          <w:sz w:val="22"/>
          <w:szCs w:val="22"/>
        </w:rPr>
        <w:t>Personalised</w:t>
      </w:r>
      <w:proofErr w:type="spellEnd"/>
      <w:r w:rsidRPr="00BE37E9">
        <w:rPr>
          <w:rFonts w:asciiTheme="minorHAnsi" w:hAnsiTheme="minorHAnsi"/>
          <w:bCs w:val="0"/>
          <w:sz w:val="22"/>
          <w:szCs w:val="22"/>
        </w:rPr>
        <w:t xml:space="preserve"> Learning Plans</w:t>
      </w:r>
    </w:p>
    <w:p w:rsidR="000D117F" w:rsidRPr="005967A4" w:rsidRDefault="00BE37E9" w:rsidP="00FD59D8">
      <w:pPr>
        <w:pStyle w:val="ASRHeading3"/>
        <w:outlineLvl w:val="2"/>
        <w:rPr>
          <w:rFonts w:asciiTheme="minorHAnsi" w:hAnsiTheme="minorHAnsi"/>
          <w:b w:val="0"/>
          <w:bCs w:val="0"/>
          <w:sz w:val="22"/>
          <w:szCs w:val="22"/>
        </w:rPr>
      </w:pPr>
      <w:r w:rsidRPr="00BE37E9">
        <w:rPr>
          <w:rFonts w:asciiTheme="minorHAnsi" w:hAnsiTheme="minorHAnsi"/>
          <w:b w:val="0"/>
          <w:bCs w:val="0"/>
          <w:sz w:val="22"/>
          <w:szCs w:val="22"/>
        </w:rPr>
        <w:t>In Term 1, the Learnin</w:t>
      </w:r>
      <w:r>
        <w:rPr>
          <w:rFonts w:asciiTheme="minorHAnsi" w:hAnsiTheme="minorHAnsi"/>
          <w:b w:val="0"/>
          <w:bCs w:val="0"/>
          <w:sz w:val="22"/>
          <w:szCs w:val="22"/>
        </w:rPr>
        <w:t xml:space="preserve">g Support Team (LST) </w:t>
      </w:r>
      <w:proofErr w:type="spellStart"/>
      <w:r>
        <w:rPr>
          <w:rFonts w:asciiTheme="minorHAnsi" w:hAnsiTheme="minorHAnsi"/>
          <w:b w:val="0"/>
          <w:bCs w:val="0"/>
          <w:sz w:val="22"/>
          <w:szCs w:val="22"/>
        </w:rPr>
        <w:t>organised</w:t>
      </w:r>
      <w:proofErr w:type="spellEnd"/>
      <w:r>
        <w:rPr>
          <w:rFonts w:asciiTheme="minorHAnsi" w:hAnsiTheme="minorHAnsi"/>
          <w:b w:val="0"/>
          <w:bCs w:val="0"/>
          <w:sz w:val="22"/>
          <w:szCs w:val="22"/>
        </w:rPr>
        <w:t xml:space="preserve"> m</w:t>
      </w:r>
      <w:r w:rsidRPr="00BE37E9">
        <w:rPr>
          <w:rFonts w:asciiTheme="minorHAnsi" w:hAnsiTheme="minorHAnsi"/>
          <w:b w:val="0"/>
          <w:bCs w:val="0"/>
          <w:sz w:val="22"/>
          <w:szCs w:val="22"/>
        </w:rPr>
        <w:t xml:space="preserve">eetings with Aboriginal parents and caregivers to develop a </w:t>
      </w:r>
      <w:proofErr w:type="spellStart"/>
      <w:r w:rsidRPr="00BE37E9">
        <w:rPr>
          <w:rFonts w:asciiTheme="minorHAnsi" w:hAnsiTheme="minorHAnsi"/>
          <w:b w:val="0"/>
          <w:bCs w:val="0"/>
          <w:sz w:val="22"/>
          <w:szCs w:val="22"/>
        </w:rPr>
        <w:t>Personalised</w:t>
      </w:r>
      <w:proofErr w:type="spellEnd"/>
      <w:r w:rsidRPr="00BE37E9">
        <w:rPr>
          <w:rFonts w:asciiTheme="minorHAnsi" w:hAnsiTheme="minorHAnsi"/>
          <w:b w:val="0"/>
          <w:bCs w:val="0"/>
          <w:sz w:val="22"/>
          <w:szCs w:val="22"/>
        </w:rPr>
        <w:t xml:space="preserve"> Learning Plan (PLP</w:t>
      </w:r>
      <w:r w:rsidR="0012336E">
        <w:rPr>
          <w:rFonts w:asciiTheme="minorHAnsi" w:hAnsiTheme="minorHAnsi"/>
          <w:b w:val="0"/>
          <w:bCs w:val="0"/>
          <w:sz w:val="22"/>
          <w:szCs w:val="22"/>
        </w:rPr>
        <w:t>) for each student.</w:t>
      </w:r>
      <w:r w:rsidRPr="00BE37E9">
        <w:rPr>
          <w:rFonts w:asciiTheme="minorHAnsi" w:hAnsiTheme="minorHAnsi"/>
          <w:b w:val="0"/>
          <w:bCs w:val="0"/>
          <w:sz w:val="22"/>
          <w:szCs w:val="22"/>
        </w:rPr>
        <w:t xml:space="preserve"> All </w:t>
      </w:r>
      <w:r>
        <w:rPr>
          <w:rFonts w:asciiTheme="minorHAnsi" w:hAnsiTheme="minorHAnsi"/>
          <w:b w:val="0"/>
          <w:bCs w:val="0"/>
          <w:sz w:val="22"/>
          <w:szCs w:val="22"/>
        </w:rPr>
        <w:t xml:space="preserve">of the students also </w:t>
      </w:r>
      <w:r w:rsidRPr="00BE37E9">
        <w:rPr>
          <w:rFonts w:asciiTheme="minorHAnsi" w:hAnsiTheme="minorHAnsi"/>
          <w:b w:val="0"/>
          <w:bCs w:val="0"/>
          <w:sz w:val="22"/>
          <w:szCs w:val="22"/>
        </w:rPr>
        <w:t>attended these meetings and spoke about their interests, goals and a</w:t>
      </w:r>
      <w:r>
        <w:rPr>
          <w:rFonts w:asciiTheme="minorHAnsi" w:hAnsiTheme="minorHAnsi"/>
          <w:b w:val="0"/>
          <w:bCs w:val="0"/>
          <w:sz w:val="22"/>
          <w:szCs w:val="22"/>
        </w:rPr>
        <w:t xml:space="preserve">cademic areas needing support. </w:t>
      </w:r>
      <w:r w:rsidRPr="00BE37E9">
        <w:rPr>
          <w:rFonts w:asciiTheme="minorHAnsi" w:hAnsiTheme="minorHAnsi"/>
          <w:b w:val="0"/>
          <w:bCs w:val="0"/>
          <w:sz w:val="22"/>
          <w:szCs w:val="22"/>
        </w:rPr>
        <w:t>Identified students across the school were supported with literacy and nu</w:t>
      </w:r>
      <w:r>
        <w:rPr>
          <w:rFonts w:asciiTheme="minorHAnsi" w:hAnsiTheme="minorHAnsi"/>
          <w:b w:val="0"/>
          <w:bCs w:val="0"/>
          <w:sz w:val="22"/>
          <w:szCs w:val="22"/>
        </w:rPr>
        <w:t xml:space="preserve">meracy programs including the: </w:t>
      </w:r>
      <w:r w:rsidRPr="00BE37E9">
        <w:rPr>
          <w:rFonts w:asciiTheme="minorHAnsi" w:hAnsiTheme="minorHAnsi"/>
          <w:b w:val="0"/>
          <w:bCs w:val="0"/>
          <w:sz w:val="22"/>
          <w:szCs w:val="22"/>
        </w:rPr>
        <w:t>Reading Recovery, Support Teacher-Learning Assistance (STLA) and Relief from</w:t>
      </w:r>
      <w:r>
        <w:rPr>
          <w:rFonts w:asciiTheme="minorHAnsi" w:hAnsiTheme="minorHAnsi"/>
          <w:b w:val="0"/>
          <w:bCs w:val="0"/>
          <w:sz w:val="22"/>
          <w:szCs w:val="22"/>
        </w:rPr>
        <w:t xml:space="preserve"> Face-to-Face (RFF) programs. </w:t>
      </w:r>
      <w:r w:rsidRPr="00BE37E9">
        <w:rPr>
          <w:rFonts w:asciiTheme="minorHAnsi" w:hAnsiTheme="minorHAnsi"/>
          <w:b w:val="0"/>
          <w:bCs w:val="0"/>
          <w:sz w:val="22"/>
          <w:szCs w:val="22"/>
        </w:rPr>
        <w:t>The result of this coordinated approach was an improvement in ski</w:t>
      </w:r>
      <w:r>
        <w:rPr>
          <w:rFonts w:asciiTheme="minorHAnsi" w:hAnsiTheme="minorHAnsi"/>
          <w:b w:val="0"/>
          <w:bCs w:val="0"/>
          <w:sz w:val="22"/>
          <w:szCs w:val="22"/>
        </w:rPr>
        <w:t xml:space="preserve">lls for all of the students. </w:t>
      </w:r>
      <w:r w:rsidRPr="00BE37E9">
        <w:rPr>
          <w:rFonts w:asciiTheme="minorHAnsi" w:hAnsiTheme="minorHAnsi"/>
          <w:b w:val="0"/>
          <w:bCs w:val="0"/>
          <w:sz w:val="22"/>
          <w:szCs w:val="22"/>
        </w:rPr>
        <w:t xml:space="preserve"> For the first time in a long time, almost all of our current </w:t>
      </w:r>
      <w:proofErr w:type="gramStart"/>
      <w:r w:rsidRPr="00BE37E9">
        <w:rPr>
          <w:rFonts w:asciiTheme="minorHAnsi" w:hAnsiTheme="minorHAnsi"/>
          <w:b w:val="0"/>
          <w:bCs w:val="0"/>
          <w:sz w:val="22"/>
          <w:szCs w:val="22"/>
        </w:rPr>
        <w:t>group of Aboriginal students are</w:t>
      </w:r>
      <w:proofErr w:type="gramEnd"/>
      <w:r w:rsidRPr="00BE37E9">
        <w:rPr>
          <w:rFonts w:asciiTheme="minorHAnsi" w:hAnsiTheme="minorHAnsi"/>
          <w:b w:val="0"/>
          <w:bCs w:val="0"/>
          <w:sz w:val="22"/>
          <w:szCs w:val="22"/>
        </w:rPr>
        <w:t xml:space="preserve"> reading at or </w:t>
      </w:r>
      <w:r>
        <w:rPr>
          <w:rFonts w:asciiTheme="minorHAnsi" w:hAnsiTheme="minorHAnsi"/>
          <w:b w:val="0"/>
          <w:bCs w:val="0"/>
          <w:sz w:val="22"/>
          <w:szCs w:val="22"/>
        </w:rPr>
        <w:t xml:space="preserve">above their grade level.   </w:t>
      </w:r>
    </w:p>
    <w:p w:rsidR="00BE37E9" w:rsidRPr="00BE37E9" w:rsidRDefault="00BE37E9" w:rsidP="00FD59D8">
      <w:pPr>
        <w:pStyle w:val="ASRHeading3"/>
        <w:outlineLvl w:val="2"/>
        <w:rPr>
          <w:rFonts w:asciiTheme="minorHAnsi" w:hAnsiTheme="minorHAnsi"/>
          <w:bCs w:val="0"/>
          <w:sz w:val="22"/>
          <w:szCs w:val="22"/>
        </w:rPr>
      </w:pPr>
      <w:r w:rsidRPr="00BE37E9">
        <w:rPr>
          <w:rFonts w:asciiTheme="minorHAnsi" w:hAnsiTheme="minorHAnsi"/>
          <w:bCs w:val="0"/>
          <w:sz w:val="22"/>
          <w:szCs w:val="22"/>
        </w:rPr>
        <w:t>Reconciliation Week</w:t>
      </w:r>
    </w:p>
    <w:p w:rsidR="008B6446" w:rsidRDefault="00BE37E9" w:rsidP="00FD59D8">
      <w:pPr>
        <w:pStyle w:val="ASRHeading3"/>
        <w:outlineLvl w:val="2"/>
        <w:rPr>
          <w:rFonts w:asciiTheme="minorHAnsi" w:hAnsiTheme="minorHAnsi"/>
          <w:b w:val="0"/>
          <w:bCs w:val="0"/>
          <w:sz w:val="22"/>
          <w:szCs w:val="22"/>
        </w:rPr>
      </w:pPr>
      <w:r w:rsidRPr="00BE37E9">
        <w:rPr>
          <w:rFonts w:asciiTheme="minorHAnsi" w:hAnsiTheme="minorHAnsi"/>
          <w:b w:val="0"/>
          <w:bCs w:val="0"/>
          <w:sz w:val="22"/>
          <w:szCs w:val="22"/>
        </w:rPr>
        <w:t>In Term 2, every class in the school either interviewed a local Aboriginal elder or they read about a nationally well-known Aboriginal person.  Then, they wrote a factual biographical recount for display as part of our annual Reconciliation Week celebrations.  Stage 1 students read about Aboriginal sports people or entertainers and Stage 2 &amp; 3 students read about Aboriginal community activists or politicians.  We were very lucky to able to interview Aboriginal elders Auntie Anita Selwyn and Keith Hall from the local community.  Examples of the best writing were displayed on the walls of the Hall along with portraits and posters.  Later, these were collated and published in a magazine.  Once again, teachers and students demonstrated great c</w:t>
      </w:r>
      <w:r w:rsidR="000D117F">
        <w:rPr>
          <w:rFonts w:asciiTheme="minorHAnsi" w:hAnsiTheme="minorHAnsi"/>
          <w:b w:val="0"/>
          <w:bCs w:val="0"/>
          <w:sz w:val="22"/>
          <w:szCs w:val="22"/>
        </w:rPr>
        <w:t xml:space="preserve">reativity and ingenuity.   </w:t>
      </w:r>
    </w:p>
    <w:p w:rsidR="0012336E" w:rsidRDefault="00BE37E9" w:rsidP="00FD59D8">
      <w:pPr>
        <w:pStyle w:val="ASRHeading3"/>
        <w:outlineLvl w:val="2"/>
        <w:rPr>
          <w:rFonts w:asciiTheme="minorHAnsi" w:hAnsiTheme="minorHAnsi"/>
          <w:b w:val="0"/>
          <w:bCs w:val="0"/>
          <w:sz w:val="22"/>
          <w:szCs w:val="22"/>
        </w:rPr>
      </w:pPr>
      <w:r w:rsidRPr="00BE37E9">
        <w:rPr>
          <w:rFonts w:asciiTheme="minorHAnsi" w:hAnsiTheme="minorHAnsi"/>
          <w:b w:val="0"/>
          <w:bCs w:val="0"/>
          <w:sz w:val="22"/>
          <w:szCs w:val="22"/>
        </w:rPr>
        <w:t xml:space="preserve">Our Reconciliation Week Assembly was a big event.  Auntie Anita Selwyn gave the Welcome to Country.  Class 2R danced to the </w:t>
      </w:r>
      <w:proofErr w:type="spellStart"/>
      <w:r w:rsidRPr="00BE37E9">
        <w:rPr>
          <w:rFonts w:asciiTheme="minorHAnsi" w:hAnsiTheme="minorHAnsi"/>
          <w:b w:val="0"/>
          <w:bCs w:val="0"/>
          <w:sz w:val="22"/>
          <w:szCs w:val="22"/>
        </w:rPr>
        <w:t>Warumpi</w:t>
      </w:r>
      <w:proofErr w:type="spellEnd"/>
      <w:r w:rsidRPr="00BE37E9">
        <w:rPr>
          <w:rFonts w:asciiTheme="minorHAnsi" w:hAnsiTheme="minorHAnsi"/>
          <w:b w:val="0"/>
          <w:bCs w:val="0"/>
          <w:sz w:val="22"/>
          <w:szCs w:val="22"/>
        </w:rPr>
        <w:t xml:space="preserve"> Band’s “</w:t>
      </w:r>
      <w:proofErr w:type="spellStart"/>
      <w:r w:rsidRPr="00BE37E9">
        <w:rPr>
          <w:rFonts w:asciiTheme="minorHAnsi" w:hAnsiTheme="minorHAnsi"/>
          <w:b w:val="0"/>
          <w:bCs w:val="0"/>
          <w:sz w:val="22"/>
          <w:szCs w:val="22"/>
        </w:rPr>
        <w:t>Whitefella-Blackfella</w:t>
      </w:r>
      <w:proofErr w:type="spellEnd"/>
      <w:r w:rsidRPr="00BE37E9">
        <w:rPr>
          <w:rFonts w:asciiTheme="minorHAnsi" w:hAnsiTheme="minorHAnsi"/>
          <w:b w:val="0"/>
          <w:bCs w:val="0"/>
          <w:sz w:val="22"/>
          <w:szCs w:val="22"/>
        </w:rPr>
        <w:t xml:space="preserve">” and some of our Aboriginal </w:t>
      </w:r>
      <w:r w:rsidRPr="00BE37E9">
        <w:rPr>
          <w:rFonts w:asciiTheme="minorHAnsi" w:hAnsiTheme="minorHAnsi"/>
          <w:b w:val="0"/>
          <w:bCs w:val="0"/>
          <w:sz w:val="22"/>
          <w:szCs w:val="22"/>
        </w:rPr>
        <w:lastRenderedPageBreak/>
        <w:t xml:space="preserve">students presented their biography writing to Auntie Anita in the form of a “This Is Your Life” </w:t>
      </w:r>
      <w:r w:rsidR="0012336E">
        <w:rPr>
          <w:rFonts w:asciiTheme="minorHAnsi" w:hAnsiTheme="minorHAnsi"/>
          <w:b w:val="0"/>
          <w:bCs w:val="0"/>
          <w:sz w:val="22"/>
          <w:szCs w:val="22"/>
        </w:rPr>
        <w:t xml:space="preserve">summary. </w:t>
      </w:r>
      <w:r w:rsidRPr="00BE37E9">
        <w:rPr>
          <w:rFonts w:asciiTheme="minorHAnsi" w:hAnsiTheme="minorHAnsi"/>
          <w:b w:val="0"/>
          <w:bCs w:val="0"/>
          <w:sz w:val="22"/>
          <w:szCs w:val="22"/>
        </w:rPr>
        <w:t xml:space="preserve">Two high school students, who travelled on this year’s Youth Connections Freedom Ride Trip, gave a PowerPoint presentation about the trip and Charlie Perkins.  Some Aboriginal students from </w:t>
      </w:r>
      <w:proofErr w:type="spellStart"/>
      <w:r w:rsidRPr="00BE37E9">
        <w:rPr>
          <w:rFonts w:asciiTheme="minorHAnsi" w:hAnsiTheme="minorHAnsi"/>
          <w:b w:val="0"/>
          <w:bCs w:val="0"/>
          <w:sz w:val="22"/>
          <w:szCs w:val="22"/>
        </w:rPr>
        <w:t>Woodport</w:t>
      </w:r>
      <w:proofErr w:type="spellEnd"/>
      <w:r w:rsidRPr="00BE37E9">
        <w:rPr>
          <w:rFonts w:asciiTheme="minorHAnsi" w:hAnsiTheme="minorHAnsi"/>
          <w:b w:val="0"/>
          <w:bCs w:val="0"/>
          <w:sz w:val="22"/>
          <w:szCs w:val="22"/>
        </w:rPr>
        <w:t xml:space="preserve"> P.S. also attende</w:t>
      </w:r>
      <w:r w:rsidR="0012336E">
        <w:rPr>
          <w:rFonts w:asciiTheme="minorHAnsi" w:hAnsiTheme="minorHAnsi"/>
          <w:b w:val="0"/>
          <w:bCs w:val="0"/>
          <w:sz w:val="22"/>
          <w:szCs w:val="22"/>
        </w:rPr>
        <w:t xml:space="preserve">d as part of the audience.  </w:t>
      </w:r>
    </w:p>
    <w:p w:rsidR="008B6446" w:rsidRDefault="00BE37E9" w:rsidP="008B6446">
      <w:pPr>
        <w:pStyle w:val="ASRHeading3"/>
        <w:spacing w:before="0" w:after="0"/>
        <w:outlineLvl w:val="2"/>
        <w:rPr>
          <w:rFonts w:asciiTheme="minorHAnsi" w:hAnsiTheme="minorHAnsi"/>
          <w:b w:val="0"/>
          <w:bCs w:val="0"/>
          <w:sz w:val="22"/>
          <w:szCs w:val="22"/>
        </w:rPr>
      </w:pPr>
      <w:r w:rsidRPr="008B6446">
        <w:rPr>
          <w:rFonts w:asciiTheme="minorHAnsi" w:hAnsiTheme="minorHAnsi"/>
          <w:bCs w:val="0"/>
          <w:sz w:val="22"/>
          <w:szCs w:val="22"/>
        </w:rPr>
        <w:t xml:space="preserve">Other Special </w:t>
      </w:r>
      <w:r w:rsidR="0012336E" w:rsidRPr="008B6446">
        <w:rPr>
          <w:rFonts w:asciiTheme="minorHAnsi" w:hAnsiTheme="minorHAnsi"/>
          <w:bCs w:val="0"/>
          <w:sz w:val="22"/>
          <w:szCs w:val="22"/>
        </w:rPr>
        <w:t>Aboriginal Cultural Events:</w:t>
      </w:r>
    </w:p>
    <w:p w:rsidR="0012336E" w:rsidRDefault="00BE37E9" w:rsidP="00FD59D8">
      <w:pPr>
        <w:pStyle w:val="ASRHeading3"/>
        <w:outlineLvl w:val="2"/>
        <w:rPr>
          <w:rFonts w:asciiTheme="minorHAnsi" w:hAnsiTheme="minorHAnsi"/>
          <w:b w:val="0"/>
          <w:bCs w:val="0"/>
          <w:sz w:val="22"/>
          <w:szCs w:val="22"/>
        </w:rPr>
      </w:pPr>
      <w:r w:rsidRPr="00BE37E9">
        <w:rPr>
          <w:rFonts w:asciiTheme="minorHAnsi" w:hAnsiTheme="minorHAnsi"/>
          <w:b w:val="0"/>
          <w:bCs w:val="0"/>
          <w:sz w:val="22"/>
          <w:szCs w:val="22"/>
        </w:rPr>
        <w:t>In late March, the Aboriginal Education Consultative Group held thei</w:t>
      </w:r>
      <w:r w:rsidR="0012336E">
        <w:rPr>
          <w:rFonts w:asciiTheme="minorHAnsi" w:hAnsiTheme="minorHAnsi"/>
          <w:b w:val="0"/>
          <w:bCs w:val="0"/>
          <w:sz w:val="22"/>
          <w:szCs w:val="22"/>
        </w:rPr>
        <w:t xml:space="preserve">r meeting in our library.  </w:t>
      </w:r>
    </w:p>
    <w:p w:rsidR="00F244A4" w:rsidRDefault="00BE37E9" w:rsidP="00FD59D8">
      <w:pPr>
        <w:pStyle w:val="ASRHeading3"/>
        <w:outlineLvl w:val="2"/>
        <w:rPr>
          <w:rFonts w:asciiTheme="minorHAnsi" w:hAnsiTheme="minorHAnsi"/>
          <w:b w:val="0"/>
          <w:bCs w:val="0"/>
          <w:sz w:val="22"/>
          <w:szCs w:val="22"/>
        </w:rPr>
      </w:pPr>
      <w:r w:rsidRPr="00BE37E9">
        <w:rPr>
          <w:rFonts w:asciiTheme="minorHAnsi" w:hAnsiTheme="minorHAnsi"/>
          <w:b w:val="0"/>
          <w:bCs w:val="0"/>
          <w:sz w:val="22"/>
          <w:szCs w:val="22"/>
        </w:rPr>
        <w:t xml:space="preserve">In mid August, approximately 20 GEPS Year 6 students attended a NAIDOC Week Transition Program Day at </w:t>
      </w:r>
      <w:proofErr w:type="spellStart"/>
      <w:r w:rsidRPr="00BE37E9">
        <w:rPr>
          <w:rFonts w:asciiTheme="minorHAnsi" w:hAnsiTheme="minorHAnsi"/>
          <w:b w:val="0"/>
          <w:bCs w:val="0"/>
          <w:sz w:val="22"/>
          <w:szCs w:val="22"/>
        </w:rPr>
        <w:t>Erina</w:t>
      </w:r>
      <w:proofErr w:type="spellEnd"/>
      <w:r w:rsidRPr="00BE37E9">
        <w:rPr>
          <w:rFonts w:asciiTheme="minorHAnsi" w:hAnsiTheme="minorHAnsi"/>
          <w:b w:val="0"/>
          <w:bCs w:val="0"/>
          <w:sz w:val="22"/>
          <w:szCs w:val="22"/>
        </w:rPr>
        <w:t xml:space="preserve"> High School where there were Aboriginal Cultural Workshops on Art, Dance, Boomerang Throwing, and Bush Tucker.  </w:t>
      </w:r>
    </w:p>
    <w:bookmarkEnd w:id="35"/>
    <w:p w:rsidR="00333AAE" w:rsidRPr="00085217" w:rsidRDefault="00333AAE" w:rsidP="00333AAE">
      <w:pPr>
        <w:pStyle w:val="ASRHeading3"/>
      </w:pPr>
      <w:r w:rsidRPr="00085217">
        <w:t>Multicultural education</w:t>
      </w:r>
    </w:p>
    <w:p w:rsidR="00333AAE" w:rsidRPr="00023FE7" w:rsidRDefault="00333AAE" w:rsidP="00333AAE">
      <w:pPr>
        <w:pStyle w:val="ASRBodyText"/>
        <w:rPr>
          <w:iCs/>
          <w:lang w:val="en-AU"/>
        </w:rPr>
      </w:pPr>
      <w:r w:rsidRPr="00023FE7">
        <w:rPr>
          <w:iCs/>
          <w:lang w:val="en-AU"/>
        </w:rPr>
        <w:t xml:space="preserve">We have again had the services of an ESL teacher at our school for one and </w:t>
      </w:r>
      <w:r>
        <w:rPr>
          <w:iCs/>
          <w:lang w:val="en-AU"/>
        </w:rPr>
        <w:t>day</w:t>
      </w:r>
      <w:r w:rsidRPr="00023FE7">
        <w:rPr>
          <w:iCs/>
          <w:lang w:val="en-AU"/>
        </w:rPr>
        <w:t xml:space="preserve"> per week. She also acts as a mentor for other ESL teachers across the region. The number of ESL children at our school continues to grow. Multicultural aspects continue to be taught across the curriculum and the school celebrates significant days and events.</w:t>
      </w:r>
    </w:p>
    <w:p w:rsidR="00333AAE" w:rsidRPr="00333AAE" w:rsidRDefault="00333AAE" w:rsidP="00333AAE">
      <w:pPr>
        <w:pStyle w:val="ASRBodyText"/>
        <w:rPr>
          <w:iCs/>
          <w:lang w:val="en-AU"/>
        </w:rPr>
      </w:pPr>
      <w:r w:rsidRPr="00023FE7">
        <w:rPr>
          <w:iCs/>
          <w:lang w:val="en-AU"/>
        </w:rPr>
        <w:t>This year Harmony Day was one of the key aspects of our calendar where we recognised the diversity of cultures in Australian society</w:t>
      </w:r>
      <w:r>
        <w:rPr>
          <w:iCs/>
          <w:lang w:val="en-AU"/>
        </w:rPr>
        <w:t>.</w:t>
      </w:r>
    </w:p>
    <w:p w:rsidR="00333AAE" w:rsidRPr="00085217" w:rsidRDefault="00333AAE" w:rsidP="00333AAE">
      <w:pPr>
        <w:pStyle w:val="ASRHeading3"/>
      </w:pPr>
      <w:r w:rsidRPr="00085217">
        <w:t>Respect and responsibility</w:t>
      </w:r>
    </w:p>
    <w:p w:rsidR="00333AAE" w:rsidRPr="002E65A4" w:rsidRDefault="00333AAE" w:rsidP="00333AAE">
      <w:pPr>
        <w:pStyle w:val="ASRHeading3"/>
        <w:rPr>
          <w:b w:val="0"/>
          <w:iCs/>
          <w:sz w:val="22"/>
          <w:szCs w:val="22"/>
          <w:lang w:val="en-AU"/>
        </w:rPr>
      </w:pPr>
      <w:r w:rsidRPr="002E65A4">
        <w:rPr>
          <w:b w:val="0"/>
          <w:iCs/>
          <w:sz w:val="22"/>
          <w:szCs w:val="22"/>
          <w:lang w:val="en-AU"/>
        </w:rPr>
        <w:t xml:space="preserve">Respect and responsibility continue to be the key aspects of the ethos of the school. The teaching of these expectations is both integrated throughout the curriculum and taught explicitly. </w:t>
      </w:r>
    </w:p>
    <w:p w:rsidR="00333AAE" w:rsidRPr="002E65A4" w:rsidRDefault="00333AAE" w:rsidP="00333AAE">
      <w:pPr>
        <w:pStyle w:val="ASRHeading3"/>
        <w:rPr>
          <w:b w:val="0"/>
          <w:iCs/>
          <w:sz w:val="22"/>
          <w:szCs w:val="22"/>
          <w:lang w:val="en-AU"/>
        </w:rPr>
      </w:pPr>
      <w:r w:rsidRPr="002E65A4">
        <w:rPr>
          <w:b w:val="0"/>
          <w:iCs/>
          <w:sz w:val="22"/>
          <w:szCs w:val="22"/>
          <w:lang w:val="en-AU"/>
        </w:rPr>
        <w:t xml:space="preserve">Each stage teaches a program of work where all areas contained in the NSW Values statement </w:t>
      </w:r>
      <w:proofErr w:type="gramStart"/>
      <w:r w:rsidRPr="002E65A4">
        <w:rPr>
          <w:b w:val="0"/>
          <w:iCs/>
          <w:sz w:val="22"/>
          <w:szCs w:val="22"/>
          <w:lang w:val="en-AU"/>
        </w:rPr>
        <w:t>are</w:t>
      </w:r>
      <w:proofErr w:type="gramEnd"/>
      <w:r w:rsidRPr="002E65A4">
        <w:rPr>
          <w:b w:val="0"/>
          <w:iCs/>
          <w:sz w:val="22"/>
          <w:szCs w:val="22"/>
          <w:lang w:val="en-AU"/>
        </w:rPr>
        <w:t xml:space="preserve"> covered. </w:t>
      </w:r>
    </w:p>
    <w:p w:rsidR="00333AAE" w:rsidRPr="002E65A4" w:rsidRDefault="00333AAE" w:rsidP="00333AAE">
      <w:pPr>
        <w:pStyle w:val="ASRHeading3"/>
        <w:rPr>
          <w:b w:val="0"/>
          <w:iCs/>
          <w:sz w:val="22"/>
          <w:szCs w:val="22"/>
          <w:lang w:val="en-AU"/>
        </w:rPr>
      </w:pPr>
      <w:r w:rsidRPr="002E65A4">
        <w:rPr>
          <w:b w:val="0"/>
          <w:iCs/>
          <w:sz w:val="22"/>
          <w:szCs w:val="22"/>
          <w:lang w:val="en-AU"/>
        </w:rPr>
        <w:t xml:space="preserve">The staff and students have reviewed and further developed key values that underpin our School Welfare System. </w:t>
      </w:r>
    </w:p>
    <w:p w:rsidR="00333AAE" w:rsidRDefault="00333AAE" w:rsidP="00333AAE">
      <w:pPr>
        <w:pStyle w:val="ASRHeading3"/>
      </w:pPr>
      <w:r w:rsidRPr="00085217">
        <w:t>Other programs</w:t>
      </w:r>
    </w:p>
    <w:p w:rsidR="00333AAE" w:rsidRPr="004F5A86" w:rsidRDefault="00333AAE" w:rsidP="00333AAE">
      <w:pPr>
        <w:pStyle w:val="ASRBodyText"/>
        <w:spacing w:before="0"/>
        <w:rPr>
          <w:b/>
        </w:rPr>
      </w:pPr>
      <w:r w:rsidRPr="004F5A86">
        <w:rPr>
          <w:b/>
        </w:rPr>
        <w:t>Support Classes</w:t>
      </w:r>
    </w:p>
    <w:p w:rsidR="00333AAE" w:rsidRDefault="00333AAE" w:rsidP="00333AAE">
      <w:pPr>
        <w:pStyle w:val="ASRBodyText"/>
      </w:pPr>
      <w:r>
        <w:t xml:space="preserve">Our 3 Support Classes (1 x IM, 2 x P) continue to provide individual and group programs to meet the special educational, physical and social needs of students within the context of a mainstream primary school setting. </w:t>
      </w:r>
    </w:p>
    <w:p w:rsidR="00333AAE" w:rsidRDefault="00333AAE" w:rsidP="00333AAE">
      <w:pPr>
        <w:pStyle w:val="ASRBodyText"/>
      </w:pPr>
      <w:r>
        <w:lastRenderedPageBreak/>
        <w:t>Use of computer technology is a feature of teaching and learning programs.</w:t>
      </w:r>
    </w:p>
    <w:p w:rsidR="00333AAE" w:rsidRDefault="00333AAE" w:rsidP="00333AAE">
      <w:pPr>
        <w:pStyle w:val="ASRBodyText"/>
      </w:pPr>
      <w:r>
        <w:t xml:space="preserve">Our students are well supported by our </w:t>
      </w:r>
      <w:proofErr w:type="spellStart"/>
      <w:r>
        <w:t>on site</w:t>
      </w:r>
      <w:proofErr w:type="spellEnd"/>
      <w:r>
        <w:t xml:space="preserve"> Northern Sydney Central Coast Health Team with individual intervention and in-class programs.</w:t>
      </w:r>
    </w:p>
    <w:p w:rsidR="00333AAE" w:rsidRDefault="00333AAE" w:rsidP="00333AAE">
      <w:pPr>
        <w:pStyle w:val="ASRBodyText"/>
      </w:pPr>
      <w:r>
        <w:t xml:space="preserve">Special off site programs included weekly swimming, gym and horse riding, for students with a physical disability, and </w:t>
      </w:r>
      <w:smartTag w:uri="urn:schemas-microsoft-com:office:smarttags" w:element="place">
        <w:smartTag w:uri="urn:schemas-microsoft-com:office:smarttags" w:element="PlaceName">
          <w:r>
            <w:t>Special</w:t>
          </w:r>
        </w:smartTag>
        <w:r>
          <w:t xml:space="preserve"> </w:t>
        </w:r>
        <w:smartTag w:uri="urn:schemas-microsoft-com:office:smarttags" w:element="PlaceName">
          <w:r>
            <w:t>Swim</w:t>
          </w:r>
        </w:smartTag>
        <w:r>
          <w:t xml:space="preserve"> </w:t>
        </w:r>
        <w:smartTag w:uri="urn:schemas-microsoft-com:office:smarttags" w:element="PlaceType">
          <w:r>
            <w:t>School</w:t>
          </w:r>
        </w:smartTag>
      </w:smartTag>
      <w:r>
        <w:t>.</w:t>
      </w:r>
    </w:p>
    <w:p w:rsidR="00333AAE" w:rsidRPr="00E618E8" w:rsidRDefault="00333AAE" w:rsidP="00333AAE">
      <w:pPr>
        <w:pStyle w:val="ASRBodyText"/>
      </w:pPr>
      <w:r>
        <w:t>Our students enjoy full participation in whole school activities.</w:t>
      </w:r>
    </w:p>
    <w:p w:rsidR="009974E3" w:rsidRPr="0058625F" w:rsidRDefault="009974E3" w:rsidP="00FD59D8">
      <w:pPr>
        <w:pStyle w:val="ASRHeading2"/>
        <w:outlineLvl w:val="1"/>
      </w:pPr>
      <w:bookmarkStart w:id="36" w:name="_Toc210703667"/>
      <w:bookmarkStart w:id="37" w:name="_Toc210703401"/>
      <w:bookmarkStart w:id="38" w:name="_Toc210703320"/>
      <w:bookmarkStart w:id="39" w:name="_Toc306703604"/>
      <w:r w:rsidRPr="0058625F">
        <w:t>Progress on 2011 targets</w:t>
      </w:r>
      <w:bookmarkEnd w:id="36"/>
      <w:bookmarkEnd w:id="37"/>
      <w:bookmarkEnd w:id="38"/>
      <w:bookmarkEnd w:id="39"/>
    </w:p>
    <w:p w:rsidR="001D3075" w:rsidRPr="00085217" w:rsidRDefault="001D3075" w:rsidP="001D3075">
      <w:pPr>
        <w:pStyle w:val="ASRHeading3"/>
        <w:rPr>
          <w:rFonts w:eastAsia="Times New Roman" w:cs="Times New Roman"/>
        </w:rPr>
      </w:pPr>
      <w:r w:rsidRPr="00085217">
        <w:rPr>
          <w:rFonts w:eastAsia="Times New Roman" w:cs="Times New Roman"/>
        </w:rPr>
        <w:t>Target 1</w:t>
      </w:r>
    </w:p>
    <w:p w:rsidR="001D3075" w:rsidRPr="00D728DE" w:rsidRDefault="001D3075" w:rsidP="001D3075">
      <w:pPr>
        <w:pStyle w:val="ASRBodyText"/>
        <w:rPr>
          <w:rFonts w:ascii="Calibri" w:eastAsia="Times New Roman" w:hAnsi="Calibri" w:cs="Times New Roman"/>
          <w:b/>
        </w:rPr>
      </w:pPr>
      <w:r w:rsidRPr="00D728DE">
        <w:rPr>
          <w:rFonts w:ascii="Calibri" w:eastAsia="Times New Roman" w:hAnsi="Calibri" w:cs="Times New Roman"/>
          <w:b/>
        </w:rPr>
        <w:t>To improve comprehension and spelling skills of all students</w:t>
      </w:r>
    </w:p>
    <w:p w:rsidR="001D3075" w:rsidRPr="00E618E8" w:rsidRDefault="00C07504" w:rsidP="001D3075">
      <w:pPr>
        <w:pStyle w:val="ASRBodyText"/>
        <w:rPr>
          <w:rFonts w:ascii="Calibri" w:eastAsia="Times New Roman" w:hAnsi="Calibri" w:cs="Times New Roman"/>
        </w:rPr>
      </w:pPr>
      <w:r>
        <w:t>Our achievements include</w:t>
      </w:r>
      <w:r w:rsidR="001D3075" w:rsidRPr="00E618E8">
        <w:rPr>
          <w:rFonts w:ascii="Calibri" w:eastAsia="Times New Roman" w:hAnsi="Calibri" w:cs="Times New Roman"/>
        </w:rPr>
        <w:t>:</w:t>
      </w:r>
    </w:p>
    <w:p w:rsidR="001D3075" w:rsidRPr="009C3D34" w:rsidRDefault="001D3075" w:rsidP="001D3075">
      <w:pPr>
        <w:pStyle w:val="ASRListBullet1"/>
        <w:numPr>
          <w:ilvl w:val="0"/>
          <w:numId w:val="1"/>
        </w:numPr>
        <w:ind w:left="378"/>
      </w:pPr>
      <w:r>
        <w:t>Review scope and sequence of reading and spelling</w:t>
      </w:r>
      <w:r w:rsidR="008B6446">
        <w:t>;</w:t>
      </w:r>
    </w:p>
    <w:p w:rsidR="001D3075" w:rsidRDefault="00C07504" w:rsidP="001D3075">
      <w:pPr>
        <w:pStyle w:val="ASRListBullet1"/>
        <w:numPr>
          <w:ilvl w:val="0"/>
          <w:numId w:val="1"/>
        </w:numPr>
        <w:ind w:left="378"/>
      </w:pPr>
      <w:r>
        <w:t xml:space="preserve">Provided </w:t>
      </w:r>
      <w:r w:rsidR="008B6446">
        <w:t>Training and D</w:t>
      </w:r>
      <w:r w:rsidR="001D3075">
        <w:t xml:space="preserve">evelopment of specific teaching strategies </w:t>
      </w:r>
      <w:r>
        <w:t>including “Super 6” and “S</w:t>
      </w:r>
      <w:r w:rsidR="008B6446">
        <w:t>TARS” program for comprehension;</w:t>
      </w:r>
    </w:p>
    <w:p w:rsidR="00C07504" w:rsidRPr="009C3D34" w:rsidRDefault="00C07504" w:rsidP="001D3075">
      <w:pPr>
        <w:pStyle w:val="ASRListBullet1"/>
        <w:numPr>
          <w:ilvl w:val="0"/>
          <w:numId w:val="1"/>
        </w:numPr>
        <w:ind w:left="378"/>
      </w:pPr>
      <w:r>
        <w:t>Implemented CARS assessments for comprehension and 1 minute read benchmarks for Grade 2-6</w:t>
      </w:r>
      <w:r w:rsidR="008B6446">
        <w:t>;</w:t>
      </w:r>
    </w:p>
    <w:p w:rsidR="001D3075" w:rsidRDefault="00C07504" w:rsidP="001D3075">
      <w:pPr>
        <w:pStyle w:val="ASRListBullet1"/>
        <w:numPr>
          <w:ilvl w:val="0"/>
          <w:numId w:val="1"/>
        </w:numPr>
        <w:ind w:left="378"/>
      </w:pPr>
      <w:r>
        <w:t>Purchased</w:t>
      </w:r>
      <w:r w:rsidR="001D3075">
        <w:t xml:space="preserve"> relevant resources</w:t>
      </w:r>
      <w:r>
        <w:t xml:space="preserve"> including new “readers”</w:t>
      </w:r>
      <w:r w:rsidR="001D3075">
        <w:t xml:space="preserve"> for the teaching of reading </w:t>
      </w:r>
      <w:r>
        <w:t xml:space="preserve">and </w:t>
      </w:r>
      <w:r w:rsidR="001D3075">
        <w:t>comprehension</w:t>
      </w:r>
      <w:r>
        <w:t xml:space="preserve"> and teacher resources to sup</w:t>
      </w:r>
      <w:r w:rsidR="008B6446">
        <w:t>port comprehension and spelling;</w:t>
      </w:r>
    </w:p>
    <w:p w:rsidR="00A94772" w:rsidRDefault="00A94772" w:rsidP="001D3075">
      <w:pPr>
        <w:pStyle w:val="ASRListBullet1"/>
        <w:numPr>
          <w:ilvl w:val="0"/>
          <w:numId w:val="1"/>
        </w:numPr>
        <w:ind w:left="378"/>
      </w:pPr>
      <w:r>
        <w:t>We were 10 points above state average and 17 points above similar schools in reading in Year 3 and 4 points above similar school average and just below state average in Spelling in Year 3</w:t>
      </w:r>
      <w:r w:rsidR="008B6446">
        <w:t>;</w:t>
      </w:r>
    </w:p>
    <w:p w:rsidR="00A94772" w:rsidRDefault="00A94772" w:rsidP="001D3075">
      <w:pPr>
        <w:pStyle w:val="ASRListBullet1"/>
        <w:numPr>
          <w:ilvl w:val="0"/>
          <w:numId w:val="1"/>
        </w:numPr>
        <w:ind w:left="378"/>
      </w:pPr>
      <w:r>
        <w:t xml:space="preserve">We </w:t>
      </w:r>
      <w:r w:rsidR="008B6446">
        <w:t xml:space="preserve">were </w:t>
      </w:r>
      <w:r>
        <w:t>also above state and similar school average in Reading but below state a</w:t>
      </w:r>
      <w:r w:rsidR="008B6446">
        <w:t>verage by 13 points in spelling;</w:t>
      </w:r>
    </w:p>
    <w:p w:rsidR="00676BDA" w:rsidRDefault="00676BDA" w:rsidP="001D3075">
      <w:pPr>
        <w:pStyle w:val="ASRListBullet1"/>
        <w:numPr>
          <w:ilvl w:val="0"/>
          <w:numId w:val="1"/>
        </w:numPr>
        <w:ind w:left="378"/>
      </w:pPr>
      <w:r>
        <w:t>Our average progress between Years 3 and 5 in Reading in the NAPLAN tests was 98.2 points which was 24 points above state average</w:t>
      </w:r>
      <w:r w:rsidR="008B6446">
        <w:t>;</w:t>
      </w:r>
    </w:p>
    <w:p w:rsidR="00676BDA" w:rsidRPr="009C3D34" w:rsidRDefault="00676BDA" w:rsidP="001D3075">
      <w:pPr>
        <w:pStyle w:val="ASRListBullet1"/>
        <w:numPr>
          <w:ilvl w:val="0"/>
          <w:numId w:val="1"/>
        </w:numPr>
        <w:ind w:left="378"/>
      </w:pPr>
      <w:r>
        <w:t>Our average progress in spelling was 81.2 points which was 6 points above state average.</w:t>
      </w:r>
    </w:p>
    <w:p w:rsidR="005967A4" w:rsidRDefault="005967A4" w:rsidP="001D3075">
      <w:pPr>
        <w:pStyle w:val="ASRHeading3"/>
        <w:rPr>
          <w:rFonts w:eastAsia="Times New Roman" w:cs="Times New Roman"/>
        </w:rPr>
      </w:pPr>
    </w:p>
    <w:p w:rsidR="005967A4" w:rsidRDefault="005967A4" w:rsidP="001D3075">
      <w:pPr>
        <w:pStyle w:val="ASRHeading3"/>
        <w:rPr>
          <w:rFonts w:eastAsia="Times New Roman" w:cs="Times New Roman"/>
        </w:rPr>
      </w:pPr>
    </w:p>
    <w:p w:rsidR="001D3075" w:rsidRPr="00085217" w:rsidRDefault="001D3075" w:rsidP="001D3075">
      <w:pPr>
        <w:pStyle w:val="ASRHeading3"/>
        <w:rPr>
          <w:rFonts w:eastAsia="Times New Roman" w:cs="Times New Roman"/>
        </w:rPr>
      </w:pPr>
      <w:r>
        <w:rPr>
          <w:rFonts w:eastAsia="Times New Roman" w:cs="Times New Roman"/>
        </w:rPr>
        <w:lastRenderedPageBreak/>
        <w:t>Target 2</w:t>
      </w:r>
    </w:p>
    <w:p w:rsidR="001D3075" w:rsidRPr="00AF6000" w:rsidRDefault="001D3075" w:rsidP="001D3075">
      <w:pPr>
        <w:pStyle w:val="ASRBodyText"/>
        <w:rPr>
          <w:rFonts w:ascii="Calibri" w:eastAsia="Times New Roman" w:hAnsi="Calibri" w:cs="Times New Roman"/>
          <w:b/>
        </w:rPr>
      </w:pPr>
      <w:proofErr w:type="gramStart"/>
      <w:r w:rsidRPr="00AF6000">
        <w:rPr>
          <w:rFonts w:ascii="Calibri" w:eastAsia="Times New Roman" w:hAnsi="Calibri" w:cs="Times New Roman"/>
          <w:b/>
        </w:rPr>
        <w:t>To improve the numeracy skills of all students.</w:t>
      </w:r>
      <w:proofErr w:type="gramEnd"/>
    </w:p>
    <w:p w:rsidR="001D3075" w:rsidRPr="00E618E8" w:rsidRDefault="00676BDA" w:rsidP="001D3075">
      <w:pPr>
        <w:pStyle w:val="ASRBodyText"/>
        <w:rPr>
          <w:rFonts w:ascii="Calibri" w:eastAsia="Times New Roman" w:hAnsi="Calibri" w:cs="Times New Roman"/>
        </w:rPr>
      </w:pPr>
      <w:r>
        <w:rPr>
          <w:rFonts w:ascii="Calibri" w:eastAsia="Times New Roman" w:hAnsi="Calibri" w:cs="Times New Roman"/>
        </w:rPr>
        <w:t>Our achievements include:</w:t>
      </w:r>
    </w:p>
    <w:p w:rsidR="001D3075" w:rsidRPr="009C3D34" w:rsidRDefault="00676BDA" w:rsidP="001D3075">
      <w:pPr>
        <w:pStyle w:val="ASRListBullet1"/>
        <w:numPr>
          <w:ilvl w:val="0"/>
          <w:numId w:val="1"/>
        </w:numPr>
        <w:ind w:left="378"/>
      </w:pPr>
      <w:r>
        <w:t>Staff</w:t>
      </w:r>
      <w:r w:rsidR="001D3075">
        <w:t xml:space="preserve"> use SMART package to inform programming and individual student support</w:t>
      </w:r>
      <w:r w:rsidR="008B6446">
        <w:t>;</w:t>
      </w:r>
    </w:p>
    <w:p w:rsidR="001D3075" w:rsidRPr="009C3D34" w:rsidRDefault="001D3075" w:rsidP="001D3075">
      <w:pPr>
        <w:pStyle w:val="ASRListBullet1"/>
        <w:numPr>
          <w:ilvl w:val="0"/>
          <w:numId w:val="1"/>
        </w:numPr>
        <w:ind w:left="378"/>
      </w:pPr>
      <w:r>
        <w:t>Review</w:t>
      </w:r>
      <w:r w:rsidR="00A94772">
        <w:t>ed</w:t>
      </w:r>
      <w:r>
        <w:t xml:space="preserve"> scope and sequence to ensure all aspects of the curriculum are being taught and that this is</w:t>
      </w:r>
      <w:r w:rsidR="008B6446">
        <w:t xml:space="preserve"> reflected in teachers programs;</w:t>
      </w:r>
    </w:p>
    <w:p w:rsidR="001D3075" w:rsidRPr="009C3D34" w:rsidRDefault="00676BDA" w:rsidP="001D3075">
      <w:pPr>
        <w:pStyle w:val="ASRListBullet1"/>
        <w:numPr>
          <w:ilvl w:val="0"/>
          <w:numId w:val="1"/>
        </w:numPr>
        <w:ind w:left="378"/>
      </w:pPr>
      <w:r>
        <w:t>Purchased</w:t>
      </w:r>
      <w:r w:rsidR="001D3075">
        <w:t xml:space="preserve"> relevant resources and</w:t>
      </w:r>
      <w:r>
        <w:t xml:space="preserve"> provided</w:t>
      </w:r>
      <w:r w:rsidR="001D3075">
        <w:t xml:space="preserve"> tra</w:t>
      </w:r>
      <w:r w:rsidR="008B6446">
        <w:t>ining and development for staff;</w:t>
      </w:r>
    </w:p>
    <w:p w:rsidR="001D3075" w:rsidRPr="009C3D34" w:rsidRDefault="00676BDA" w:rsidP="001D3075">
      <w:pPr>
        <w:pStyle w:val="ASRListBullet1"/>
        <w:numPr>
          <w:ilvl w:val="0"/>
          <w:numId w:val="1"/>
        </w:numPr>
        <w:ind w:left="378"/>
      </w:pPr>
      <w:r>
        <w:t>We were 19 points above state average and 29 points above similar school average in Year 3 and 3 points above state and 13 points above state ave</w:t>
      </w:r>
      <w:r w:rsidR="008B6446">
        <w:t>rage in the Numeracy NAPLAN test;</w:t>
      </w:r>
    </w:p>
    <w:p w:rsidR="001D3075" w:rsidRPr="009C3D34" w:rsidRDefault="00676BDA" w:rsidP="001D3075">
      <w:pPr>
        <w:pStyle w:val="ASRListBullet1"/>
        <w:numPr>
          <w:ilvl w:val="0"/>
          <w:numId w:val="1"/>
        </w:numPr>
        <w:ind w:left="378"/>
      </w:pPr>
      <w:r>
        <w:t>47%</w:t>
      </w:r>
      <w:r w:rsidR="001D3075">
        <w:t xml:space="preserve"> o</w:t>
      </w:r>
      <w:r>
        <w:t>f Year 3 students achieved</w:t>
      </w:r>
      <w:r w:rsidR="008B6446">
        <w:t xml:space="preserve"> a Band 5 or 6 in the NAPLAN;</w:t>
      </w:r>
    </w:p>
    <w:p w:rsidR="001D3075" w:rsidRDefault="00676BDA" w:rsidP="001D3075">
      <w:pPr>
        <w:pStyle w:val="ASRListBullet1"/>
        <w:numPr>
          <w:ilvl w:val="0"/>
          <w:numId w:val="1"/>
        </w:numPr>
        <w:ind w:left="378"/>
      </w:pPr>
      <w:r>
        <w:t>2</w:t>
      </w:r>
      <w:r w:rsidR="001D3075">
        <w:t xml:space="preserve">6% of </w:t>
      </w:r>
      <w:r>
        <w:t>Year 5 students achieved</w:t>
      </w:r>
      <w:r w:rsidR="001D3075">
        <w:t xml:space="preserve"> a Band 7 or 8 in the NAPLAN</w:t>
      </w:r>
      <w:r>
        <w:t xml:space="preserve"> test</w:t>
      </w:r>
      <w:r w:rsidR="008B6446">
        <w:t>;</w:t>
      </w:r>
    </w:p>
    <w:p w:rsidR="001D3075" w:rsidRPr="00414C07" w:rsidRDefault="00676BDA" w:rsidP="001D3075">
      <w:pPr>
        <w:pStyle w:val="ASRListBullet1"/>
        <w:numPr>
          <w:ilvl w:val="0"/>
          <w:numId w:val="1"/>
        </w:numPr>
        <w:ind w:left="378"/>
      </w:pPr>
      <w:r>
        <w:t>Our average progress in the NAPLAN tests between Years 3 and 5 was 104</w:t>
      </w:r>
      <w:r w:rsidR="00414C07">
        <w:t xml:space="preserve"> points which was 9</w:t>
      </w:r>
      <w:r>
        <w:t xml:space="preserve"> points above state average.</w:t>
      </w:r>
    </w:p>
    <w:p w:rsidR="001D3075" w:rsidRPr="00085217" w:rsidRDefault="001D3075" w:rsidP="001D3075">
      <w:pPr>
        <w:pStyle w:val="ASRHeading3"/>
        <w:rPr>
          <w:rFonts w:eastAsia="Times New Roman" w:cs="Times New Roman"/>
        </w:rPr>
      </w:pPr>
      <w:r w:rsidRPr="00085217">
        <w:rPr>
          <w:rFonts w:eastAsia="Times New Roman" w:cs="Times New Roman"/>
        </w:rPr>
        <w:t xml:space="preserve">Target </w:t>
      </w:r>
      <w:r>
        <w:rPr>
          <w:rFonts w:eastAsia="Times New Roman" w:cs="Times New Roman"/>
        </w:rPr>
        <w:t>3</w:t>
      </w:r>
    </w:p>
    <w:p w:rsidR="001D3075" w:rsidRPr="00B025BA" w:rsidRDefault="001D3075" w:rsidP="001D3075">
      <w:pPr>
        <w:pStyle w:val="ASRListBullet1"/>
        <w:rPr>
          <w:b/>
        </w:rPr>
      </w:pPr>
      <w:r w:rsidRPr="00B025BA">
        <w:rPr>
          <w:b/>
        </w:rPr>
        <w:t xml:space="preserve">The school will exceed regional literacy targets in Early Stage 1 and Stage 1. </w:t>
      </w:r>
    </w:p>
    <w:p w:rsidR="001D3075" w:rsidRDefault="00414C07" w:rsidP="001D3075">
      <w:pPr>
        <w:pStyle w:val="ASRListBullet1"/>
        <w:ind w:firstLine="0"/>
      </w:pPr>
      <w:r>
        <w:t>Our achievements include:</w:t>
      </w:r>
    </w:p>
    <w:p w:rsidR="001D3075" w:rsidRDefault="00414C07" w:rsidP="001D3075">
      <w:pPr>
        <w:pStyle w:val="ASRListBullet1"/>
        <w:numPr>
          <w:ilvl w:val="0"/>
          <w:numId w:val="1"/>
        </w:numPr>
        <w:ind w:left="378"/>
      </w:pPr>
      <w:r>
        <w:t>There has been o</w:t>
      </w:r>
      <w:r w:rsidR="001D3075">
        <w:t>ngoing support an</w:t>
      </w:r>
      <w:r>
        <w:t xml:space="preserve">d resourcing of the Best Start </w:t>
      </w:r>
      <w:r w:rsidR="008B6446">
        <w:t>program;</w:t>
      </w:r>
      <w:r w:rsidR="001D3075">
        <w:t xml:space="preserve"> </w:t>
      </w:r>
    </w:p>
    <w:p w:rsidR="001D3075" w:rsidRDefault="001D3075" w:rsidP="001D3075">
      <w:pPr>
        <w:pStyle w:val="ASRListBullet1"/>
        <w:numPr>
          <w:ilvl w:val="0"/>
          <w:numId w:val="1"/>
        </w:numPr>
        <w:ind w:left="378"/>
      </w:pPr>
      <w:r>
        <w:t xml:space="preserve">Teacher professional development in Best Start </w:t>
      </w:r>
      <w:r w:rsidR="00414C07">
        <w:t xml:space="preserve">has been provided </w:t>
      </w:r>
      <w:r>
        <w:t>for all Early Stage 1 and Stage 1 teachers</w:t>
      </w:r>
      <w:r w:rsidR="008B6446">
        <w:t>;</w:t>
      </w:r>
      <w:r>
        <w:t xml:space="preserve"> </w:t>
      </w:r>
    </w:p>
    <w:p w:rsidR="001D3075" w:rsidRDefault="00414C07" w:rsidP="001D3075">
      <w:pPr>
        <w:pStyle w:val="ASRListBullet1"/>
        <w:numPr>
          <w:ilvl w:val="0"/>
          <w:numId w:val="1"/>
        </w:numPr>
        <w:ind w:left="378"/>
      </w:pPr>
      <w:r>
        <w:t>There has been an emphasis on the o</w:t>
      </w:r>
      <w:r w:rsidR="001D3075">
        <w:t>ngoing benchmarking of students</w:t>
      </w:r>
      <w:r w:rsidR="008B6446">
        <w:t>;</w:t>
      </w:r>
      <w:r w:rsidR="001D3075">
        <w:t xml:space="preserve"> </w:t>
      </w:r>
    </w:p>
    <w:p w:rsidR="001D3075" w:rsidRDefault="001D3075" w:rsidP="001D3075">
      <w:pPr>
        <w:pStyle w:val="ASRListBullet1"/>
        <w:numPr>
          <w:ilvl w:val="0"/>
          <w:numId w:val="1"/>
        </w:numPr>
        <w:ind w:left="378"/>
      </w:pPr>
      <w:r>
        <w:t xml:space="preserve">Best Start </w:t>
      </w:r>
      <w:r w:rsidR="00FC2A90">
        <w:t xml:space="preserve">has been implemented and </w:t>
      </w:r>
      <w:r>
        <w:t xml:space="preserve">students in need of additional support </w:t>
      </w:r>
      <w:r w:rsidR="00FC2A90">
        <w:t xml:space="preserve">have been identified. We have </w:t>
      </w:r>
      <w:r>
        <w:t>provide</w:t>
      </w:r>
      <w:r w:rsidR="00FC2A90">
        <w:t>d</w:t>
      </w:r>
      <w:r>
        <w:t xml:space="preserve"> parents with strate</w:t>
      </w:r>
      <w:r w:rsidR="00FC2A90">
        <w:t>gies to work with the school so to achieve</w:t>
      </w:r>
      <w:r>
        <w:t xml:space="preserve"> the best </w:t>
      </w:r>
      <w:r w:rsidR="00FC2A90">
        <w:t xml:space="preserve">outcomes </w:t>
      </w:r>
      <w:r w:rsidR="008B6446">
        <w:t>for their children;</w:t>
      </w:r>
      <w:r>
        <w:t xml:space="preserve"> </w:t>
      </w:r>
    </w:p>
    <w:p w:rsidR="001D3075" w:rsidRDefault="001D3075" w:rsidP="00FC2A90">
      <w:pPr>
        <w:pStyle w:val="ASRListBullet1"/>
        <w:numPr>
          <w:ilvl w:val="0"/>
          <w:numId w:val="1"/>
        </w:numPr>
        <w:ind w:left="378"/>
      </w:pPr>
      <w:r>
        <w:t>8</w:t>
      </w:r>
      <w:r w:rsidR="000F18CF">
        <w:t>8</w:t>
      </w:r>
      <w:r>
        <w:t>% o</w:t>
      </w:r>
      <w:r w:rsidR="00FC2A90">
        <w:t>f children in Early Stage 1 have</w:t>
      </w:r>
      <w:r>
        <w:t xml:space="preserve"> reach</w:t>
      </w:r>
      <w:r w:rsidR="00FC2A90">
        <w:t>ed</w:t>
      </w:r>
      <w:r>
        <w:t xml:space="preserve"> </w:t>
      </w:r>
      <w:r w:rsidR="008B6446">
        <w:t>the regional literacy benchmark;</w:t>
      </w:r>
    </w:p>
    <w:p w:rsidR="001D3075" w:rsidRDefault="000F18CF" w:rsidP="001D3075">
      <w:pPr>
        <w:pStyle w:val="ASRListBullet1"/>
        <w:numPr>
          <w:ilvl w:val="0"/>
          <w:numId w:val="1"/>
        </w:numPr>
        <w:ind w:left="378"/>
      </w:pPr>
      <w:r>
        <w:t>75</w:t>
      </w:r>
      <w:r w:rsidR="001D3075">
        <w:t>% of child</w:t>
      </w:r>
      <w:r w:rsidR="00FC2A90">
        <w:t>ren in Year 1 have</w:t>
      </w:r>
      <w:r w:rsidR="001D3075">
        <w:t xml:space="preserve"> reach</w:t>
      </w:r>
      <w:r w:rsidR="00FC2A90">
        <w:t>ed</w:t>
      </w:r>
      <w:r w:rsidR="001D3075">
        <w:t xml:space="preserve"> the regional literacy benchmark</w:t>
      </w:r>
      <w:r w:rsidR="008B6446">
        <w:t>;</w:t>
      </w:r>
      <w:r w:rsidR="001D3075">
        <w:t xml:space="preserve"> </w:t>
      </w:r>
    </w:p>
    <w:p w:rsidR="009974E3" w:rsidRPr="00C7190A" w:rsidRDefault="000F18CF" w:rsidP="00FC2A90">
      <w:pPr>
        <w:pStyle w:val="ASRListBullet1"/>
        <w:numPr>
          <w:ilvl w:val="0"/>
          <w:numId w:val="1"/>
        </w:numPr>
        <w:ind w:left="378"/>
      </w:pPr>
      <w:r>
        <w:lastRenderedPageBreak/>
        <w:t>64</w:t>
      </w:r>
      <w:r w:rsidR="00FC2A90">
        <w:t>% of children in Year 2 have</w:t>
      </w:r>
      <w:r w:rsidR="001D3075">
        <w:t xml:space="preserve"> reach</w:t>
      </w:r>
      <w:r w:rsidR="00FC2A90">
        <w:t>ed</w:t>
      </w:r>
      <w:r w:rsidR="001D3075">
        <w:t xml:space="preserve"> the regional literacy benchmark</w:t>
      </w:r>
      <w:r w:rsidR="008B6446">
        <w:t>.</w:t>
      </w:r>
      <w:r w:rsidR="001D3075">
        <w:t xml:space="preserve"> </w:t>
      </w:r>
    </w:p>
    <w:p w:rsidR="009974E3" w:rsidRPr="000A11D6" w:rsidRDefault="009974E3" w:rsidP="00FD59D8">
      <w:pPr>
        <w:pStyle w:val="ASRHeading2"/>
        <w:outlineLvl w:val="1"/>
      </w:pPr>
      <w:bookmarkStart w:id="40" w:name="_Toc210703321"/>
      <w:bookmarkStart w:id="41" w:name="_Toc210703402"/>
      <w:bookmarkStart w:id="42" w:name="_Toc210703668"/>
      <w:bookmarkStart w:id="43" w:name="_Toc306703606"/>
      <w:r w:rsidRPr="000A11D6">
        <w:t>Key evaluations</w:t>
      </w:r>
      <w:bookmarkEnd w:id="40"/>
      <w:bookmarkEnd w:id="41"/>
      <w:bookmarkEnd w:id="42"/>
      <w:bookmarkEnd w:id="43"/>
    </w:p>
    <w:p w:rsidR="000F6806" w:rsidRPr="00FB3071" w:rsidRDefault="009974E3" w:rsidP="00FB3071">
      <w:pPr>
        <w:pStyle w:val="ASRBodyText"/>
      </w:pPr>
      <w:r w:rsidRPr="00FB3071">
        <w:t xml:space="preserve">It is a requirement for all NSW public schools to conduct at least two annual evaluations – one related to educational and management practice and the other related to curriculum. In 2011 our school carried out evaluations of </w:t>
      </w:r>
      <w:r w:rsidR="008B6446">
        <w:t>the following:</w:t>
      </w:r>
    </w:p>
    <w:p w:rsidR="00C65E75" w:rsidRPr="0056576D" w:rsidRDefault="00C65E75" w:rsidP="00C65E75">
      <w:pPr>
        <w:pStyle w:val="ASRBodyText"/>
        <w:rPr>
          <w:b/>
          <w:sz w:val="24"/>
          <w:szCs w:val="24"/>
        </w:rPr>
      </w:pPr>
      <w:r>
        <w:rPr>
          <w:b/>
          <w:sz w:val="24"/>
          <w:szCs w:val="24"/>
        </w:rPr>
        <w:t>Parent Teachers Interviews</w:t>
      </w:r>
    </w:p>
    <w:p w:rsidR="00C65E75" w:rsidRPr="00583550" w:rsidRDefault="00C65E75" w:rsidP="00C65E75">
      <w:pPr>
        <w:pStyle w:val="ASRHeading4"/>
      </w:pPr>
      <w:r w:rsidRPr="00583550">
        <w:t>Background</w:t>
      </w:r>
    </w:p>
    <w:p w:rsidR="00C67A6B" w:rsidRDefault="00860785" w:rsidP="005967A4">
      <w:pPr>
        <w:pStyle w:val="ASRBodyText"/>
      </w:pPr>
      <w:r>
        <w:t xml:space="preserve">Assessment and reporting is an integral part of teaching and learning. Our school reports student achievement in a number of ways including, 2 formal written reports and at least 1 face to face interview is offered to all parents. The school decided to survey parents directly following the </w:t>
      </w:r>
      <w:proofErr w:type="spellStart"/>
      <w:r>
        <w:t>mid year</w:t>
      </w:r>
      <w:proofErr w:type="spellEnd"/>
      <w:r>
        <w:t xml:space="preserve"> interviews. Sixty six surveys were sent home with 29 being returned. </w:t>
      </w:r>
    </w:p>
    <w:p w:rsidR="00C65E75" w:rsidRPr="00085217" w:rsidRDefault="00C65E75" w:rsidP="00C65E75">
      <w:pPr>
        <w:pStyle w:val="ASRHeading4"/>
      </w:pPr>
      <w:r w:rsidRPr="00085217">
        <w:t>Findings and conclusions</w:t>
      </w:r>
    </w:p>
    <w:p w:rsidR="00C65E75" w:rsidRDefault="00860785" w:rsidP="00C65E75">
      <w:pPr>
        <w:pStyle w:val="ASRBodyText"/>
      </w:pPr>
      <w:r>
        <w:t xml:space="preserve">Nearly all parents that returned their surveys were very positive across most areas which </w:t>
      </w:r>
      <w:proofErr w:type="gramStart"/>
      <w:r>
        <w:t>was</w:t>
      </w:r>
      <w:proofErr w:type="gramEnd"/>
      <w:r>
        <w:t xml:space="preserve"> extremely pleasing. All parents said that the parent /teacher interviews were what they expected or greater</w:t>
      </w:r>
      <w:r w:rsidR="008B6446">
        <w:t>,</w:t>
      </w:r>
      <w:r>
        <w:t xml:space="preserve"> with 40% saying that it was better than they expected. All </w:t>
      </w:r>
      <w:r w:rsidR="00FA0B05">
        <w:t xml:space="preserve">but two </w:t>
      </w:r>
      <w:r>
        <w:t xml:space="preserve">parents </w:t>
      </w:r>
      <w:r w:rsidR="00FA0B05">
        <w:t>stated that communication with the teacher was extremely or very important with two parents stating that it was moderately important. 97% of parents were extremely or very satisfied with the information provided at the interview in regard to their achievements.</w:t>
      </w:r>
    </w:p>
    <w:p w:rsidR="008B6446" w:rsidRDefault="00FA0B05" w:rsidP="00C65E75">
      <w:pPr>
        <w:pStyle w:val="ASRBodyText"/>
      </w:pPr>
      <w:r>
        <w:t xml:space="preserve">Although most people said that the interview was important to them in helping them to understand their child’s report 8% said it was only moderately important and 1 parent said it was not important at all. </w:t>
      </w:r>
    </w:p>
    <w:p w:rsidR="00FA0B05" w:rsidRDefault="00FA0B05" w:rsidP="00C65E75">
      <w:pPr>
        <w:pStyle w:val="ASRBodyText"/>
      </w:pPr>
      <w:r>
        <w:t>The comments provided by parents included that the interviews communicated very well to parents the areas that a child needed to improve, that they were very well organized and that the feedback was very positive and that teachers were aware of their child’s strengths and weaknesses.</w:t>
      </w:r>
    </w:p>
    <w:p w:rsidR="00FA0B05" w:rsidRDefault="0093290E" w:rsidP="00C65E75">
      <w:pPr>
        <w:pStyle w:val="ASRBodyText"/>
      </w:pPr>
      <w:r>
        <w:t>The responses to the questions in regard to</w:t>
      </w:r>
      <w:r w:rsidR="00FA0B05">
        <w:t xml:space="preserve"> what</w:t>
      </w:r>
      <w:r>
        <w:t xml:space="preserve"> could we do to improve</w:t>
      </w:r>
      <w:r w:rsidR="00FA0B05">
        <w:t xml:space="preserve"> the interview process or communica</w:t>
      </w:r>
      <w:r>
        <w:t>tion with parents there was</w:t>
      </w:r>
      <w:r w:rsidR="00FA0B05">
        <w:t xml:space="preserve"> a wide range of responses. These included </w:t>
      </w:r>
      <w:r>
        <w:t>“</w:t>
      </w:r>
      <w:r w:rsidR="00FA0B05">
        <w:t xml:space="preserve">teacher comments are great but report ranking is silly”, for some children the 15 minutes </w:t>
      </w:r>
      <w:r>
        <w:t xml:space="preserve">allocated </w:t>
      </w:r>
      <w:r w:rsidR="00FA0B05">
        <w:t xml:space="preserve">is not long </w:t>
      </w:r>
      <w:r w:rsidR="00FA0B05">
        <w:lastRenderedPageBreak/>
        <w:t>enough, that teachers were open and honest and that we should hold night time interviews so working parents can get there.</w:t>
      </w:r>
    </w:p>
    <w:p w:rsidR="00C65E75" w:rsidRPr="00085217" w:rsidRDefault="00C65E75" w:rsidP="00C65E75">
      <w:pPr>
        <w:pStyle w:val="ASRHeading4"/>
      </w:pPr>
      <w:r w:rsidRPr="00085217">
        <w:t>Future directions</w:t>
      </w:r>
    </w:p>
    <w:p w:rsidR="00C67A6B" w:rsidRDefault="0093290E" w:rsidP="005967A4">
      <w:pPr>
        <w:pStyle w:val="ASRBodyText"/>
      </w:pPr>
      <w:r>
        <w:t>We were extremely happy with the feedback provided and were heartened by the many positive comments. We will communicate to parents at parent teacher information sessions and in the newsletter that parent interviews can be held throughout the year not just during the report writing period</w:t>
      </w:r>
      <w:r w:rsidR="00C65E75">
        <w:t xml:space="preserve">. </w:t>
      </w:r>
      <w:r>
        <w:t>It will also be communicated that parents or teachers can request a longer interview if there are complex issues or a lot to discuss.</w:t>
      </w:r>
    </w:p>
    <w:p w:rsidR="00C65E75" w:rsidRPr="00F6417E" w:rsidRDefault="00C65E75" w:rsidP="00C65E75">
      <w:pPr>
        <w:pStyle w:val="ASRHeading3"/>
      </w:pPr>
      <w:r w:rsidRPr="00536AC4">
        <w:t>Curriculum</w:t>
      </w:r>
    </w:p>
    <w:p w:rsidR="00C65E75" w:rsidRDefault="0093290E" w:rsidP="00C65E75">
      <w:pPr>
        <w:pStyle w:val="ASRHeading3"/>
      </w:pPr>
      <w:r>
        <w:t>English</w:t>
      </w:r>
    </w:p>
    <w:p w:rsidR="00C65E75" w:rsidRDefault="00C65E75" w:rsidP="00C65E75">
      <w:pPr>
        <w:pStyle w:val="ASRHeading3"/>
      </w:pPr>
      <w:r>
        <w:t>Background</w:t>
      </w:r>
    </w:p>
    <w:p w:rsidR="00C65E75" w:rsidRDefault="00C65E75" w:rsidP="00DE4348">
      <w:pPr>
        <w:pStyle w:val="ASRHeading3"/>
        <w:rPr>
          <w:b w:val="0"/>
          <w:sz w:val="22"/>
          <w:szCs w:val="22"/>
        </w:rPr>
      </w:pPr>
      <w:r w:rsidRPr="00081D2C">
        <w:rPr>
          <w:b w:val="0"/>
          <w:sz w:val="22"/>
          <w:szCs w:val="22"/>
        </w:rPr>
        <w:t xml:space="preserve">An evaluation of </w:t>
      </w:r>
      <w:r w:rsidR="0093290E">
        <w:rPr>
          <w:b w:val="0"/>
          <w:sz w:val="22"/>
          <w:szCs w:val="22"/>
        </w:rPr>
        <w:t>English</w:t>
      </w:r>
      <w:r w:rsidR="00DE4348">
        <w:rPr>
          <w:b w:val="0"/>
          <w:sz w:val="22"/>
          <w:szCs w:val="22"/>
        </w:rPr>
        <w:t xml:space="preserve"> </w:t>
      </w:r>
      <w:r>
        <w:rPr>
          <w:b w:val="0"/>
          <w:sz w:val="22"/>
          <w:szCs w:val="22"/>
        </w:rPr>
        <w:t>was conducted</w:t>
      </w:r>
      <w:r w:rsidR="00DE4348">
        <w:rPr>
          <w:b w:val="0"/>
          <w:sz w:val="22"/>
          <w:szCs w:val="22"/>
        </w:rPr>
        <w:t xml:space="preserve"> by the school improvement committee</w:t>
      </w:r>
      <w:r>
        <w:rPr>
          <w:b w:val="0"/>
          <w:sz w:val="22"/>
          <w:szCs w:val="22"/>
        </w:rPr>
        <w:t xml:space="preserve">. </w:t>
      </w:r>
      <w:r w:rsidR="00DE4348">
        <w:rPr>
          <w:b w:val="0"/>
          <w:sz w:val="22"/>
          <w:szCs w:val="22"/>
        </w:rPr>
        <w:t>For parents we asked question about all areas of literacy and for teachers we had a general survey and then another that focused on writing and spelling.</w:t>
      </w:r>
    </w:p>
    <w:p w:rsidR="00DE4348" w:rsidRDefault="00DE4348" w:rsidP="00DE4348">
      <w:pPr>
        <w:pStyle w:val="ASRHeading3"/>
      </w:pPr>
      <w:r>
        <w:t>Findings and Conclusions</w:t>
      </w:r>
    </w:p>
    <w:p w:rsidR="00901A91" w:rsidRDefault="00DE4348" w:rsidP="00DE4348">
      <w:pPr>
        <w:pStyle w:val="ASRHeading3"/>
        <w:rPr>
          <w:b w:val="0"/>
          <w:sz w:val="22"/>
          <w:szCs w:val="22"/>
          <w:lang w:val="en-AU"/>
        </w:rPr>
      </w:pPr>
      <w:r>
        <w:rPr>
          <w:b w:val="0"/>
          <w:sz w:val="22"/>
          <w:szCs w:val="22"/>
          <w:lang w:val="en-AU"/>
        </w:rPr>
        <w:t>We had quite a good response rate from parents</w:t>
      </w:r>
      <w:r w:rsidR="00901A91">
        <w:rPr>
          <w:b w:val="0"/>
          <w:sz w:val="22"/>
          <w:szCs w:val="22"/>
          <w:lang w:val="en-AU"/>
        </w:rPr>
        <w:t xml:space="preserve"> with 44</w:t>
      </w:r>
      <w:r>
        <w:rPr>
          <w:b w:val="0"/>
          <w:sz w:val="22"/>
          <w:szCs w:val="22"/>
          <w:lang w:val="en-AU"/>
        </w:rPr>
        <w:t xml:space="preserve"> out of 55 surveys returned. </w:t>
      </w:r>
      <w:r w:rsidR="00FD36B8">
        <w:rPr>
          <w:b w:val="0"/>
          <w:sz w:val="22"/>
          <w:szCs w:val="22"/>
          <w:lang w:val="en-AU"/>
        </w:rPr>
        <w:t>The responses from parents were mostly very positive. As was expected all parents believed that Literacy was important for their child and</w:t>
      </w:r>
      <w:r w:rsidR="00901A91">
        <w:rPr>
          <w:b w:val="0"/>
          <w:sz w:val="22"/>
          <w:szCs w:val="22"/>
          <w:lang w:val="en-AU"/>
        </w:rPr>
        <w:t xml:space="preserve"> that there was good access to technology.</w:t>
      </w:r>
    </w:p>
    <w:p w:rsidR="00DE4348" w:rsidRDefault="00901A91" w:rsidP="00DE4348">
      <w:pPr>
        <w:pStyle w:val="ASRHeading3"/>
        <w:rPr>
          <w:b w:val="0"/>
          <w:sz w:val="22"/>
          <w:szCs w:val="22"/>
          <w:lang w:val="en-AU"/>
        </w:rPr>
      </w:pPr>
      <w:r>
        <w:rPr>
          <w:b w:val="0"/>
          <w:sz w:val="22"/>
          <w:szCs w:val="22"/>
          <w:lang w:val="en-AU"/>
        </w:rPr>
        <w:t xml:space="preserve">All but one parent </w:t>
      </w:r>
      <w:r w:rsidR="00DA3543">
        <w:rPr>
          <w:b w:val="0"/>
          <w:sz w:val="22"/>
          <w:szCs w:val="22"/>
          <w:lang w:val="en-AU"/>
        </w:rPr>
        <w:t xml:space="preserve">believed that their child has improved in Reading, Writing and Spelling and most stated that their child enjoyed English/ Literacy. Two parents were unsure whether their child enjoyed Literacy and 3 stated that their child did not like English. </w:t>
      </w:r>
    </w:p>
    <w:p w:rsidR="00DA3543" w:rsidRDefault="00DA3543" w:rsidP="00DE4348">
      <w:pPr>
        <w:pStyle w:val="ASRHeading3"/>
        <w:rPr>
          <w:b w:val="0"/>
          <w:sz w:val="22"/>
          <w:szCs w:val="22"/>
          <w:lang w:val="en-AU"/>
        </w:rPr>
      </w:pPr>
      <w:r>
        <w:rPr>
          <w:b w:val="0"/>
          <w:sz w:val="22"/>
          <w:szCs w:val="22"/>
          <w:lang w:val="en-AU"/>
        </w:rPr>
        <w:t>All but one parent said that the reports that they were provided with supplied useful information and that home reading was a valuable part of their child’s learning.</w:t>
      </w:r>
    </w:p>
    <w:p w:rsidR="00DA3543" w:rsidRDefault="00DA3543" w:rsidP="00DE4348">
      <w:pPr>
        <w:pStyle w:val="ASRHeading3"/>
        <w:rPr>
          <w:b w:val="0"/>
          <w:sz w:val="22"/>
          <w:szCs w:val="22"/>
          <w:lang w:val="en-AU"/>
        </w:rPr>
      </w:pPr>
      <w:r>
        <w:rPr>
          <w:b w:val="0"/>
          <w:sz w:val="22"/>
          <w:szCs w:val="22"/>
          <w:lang w:val="en-AU"/>
        </w:rPr>
        <w:t xml:space="preserve">27 of the 44 parents said that would be interested in training to assist them with Reading. It was somewhat of a concern that 6 children do not read at home. Some parents stated that it was often difficult to read with their child every night due to sports and other commitments. </w:t>
      </w:r>
    </w:p>
    <w:p w:rsidR="00DA3543" w:rsidRDefault="00DA3543" w:rsidP="00DE4348">
      <w:pPr>
        <w:pStyle w:val="ASRHeading3"/>
        <w:rPr>
          <w:b w:val="0"/>
          <w:sz w:val="22"/>
          <w:szCs w:val="22"/>
          <w:lang w:val="en-AU"/>
        </w:rPr>
      </w:pPr>
      <w:r>
        <w:rPr>
          <w:b w:val="0"/>
          <w:sz w:val="22"/>
          <w:szCs w:val="22"/>
          <w:lang w:val="en-AU"/>
        </w:rPr>
        <w:t>14 teachers returned the general English survey. All teacher</w:t>
      </w:r>
      <w:r w:rsidR="00F559D7">
        <w:rPr>
          <w:b w:val="0"/>
          <w:sz w:val="22"/>
          <w:szCs w:val="22"/>
          <w:lang w:val="en-AU"/>
        </w:rPr>
        <w:t>s had a copy of the syllabus,</w:t>
      </w:r>
      <w:r>
        <w:rPr>
          <w:b w:val="0"/>
          <w:sz w:val="22"/>
          <w:szCs w:val="22"/>
          <w:lang w:val="en-AU"/>
        </w:rPr>
        <w:t xml:space="preserve"> used it to </w:t>
      </w:r>
      <w:r>
        <w:rPr>
          <w:b w:val="0"/>
          <w:sz w:val="22"/>
          <w:szCs w:val="22"/>
          <w:lang w:val="en-AU"/>
        </w:rPr>
        <w:lastRenderedPageBreak/>
        <w:t>develop their classroom programs</w:t>
      </w:r>
      <w:r w:rsidR="00F559D7">
        <w:rPr>
          <w:b w:val="0"/>
          <w:sz w:val="22"/>
          <w:szCs w:val="22"/>
          <w:lang w:val="en-AU"/>
        </w:rPr>
        <w:t xml:space="preserve"> and stated that they enjoyed teaching English</w:t>
      </w:r>
      <w:r>
        <w:rPr>
          <w:b w:val="0"/>
          <w:sz w:val="22"/>
          <w:szCs w:val="22"/>
          <w:lang w:val="en-AU"/>
        </w:rPr>
        <w:t>.</w:t>
      </w:r>
    </w:p>
    <w:p w:rsidR="00DA3543" w:rsidRDefault="008B6446" w:rsidP="00DE4348">
      <w:pPr>
        <w:pStyle w:val="ASRHeading3"/>
        <w:rPr>
          <w:b w:val="0"/>
          <w:sz w:val="22"/>
          <w:szCs w:val="22"/>
          <w:lang w:val="en-AU"/>
        </w:rPr>
      </w:pPr>
      <w:r>
        <w:rPr>
          <w:b w:val="0"/>
          <w:sz w:val="22"/>
          <w:szCs w:val="22"/>
          <w:lang w:val="en-AU"/>
        </w:rPr>
        <w:t xml:space="preserve">7 teachers </w:t>
      </w:r>
      <w:r w:rsidR="00DA3543">
        <w:rPr>
          <w:b w:val="0"/>
          <w:sz w:val="22"/>
          <w:szCs w:val="22"/>
          <w:lang w:val="en-AU"/>
        </w:rPr>
        <w:t>(50%</w:t>
      </w:r>
      <w:r w:rsidR="00F244A4">
        <w:rPr>
          <w:b w:val="0"/>
          <w:sz w:val="22"/>
          <w:szCs w:val="22"/>
          <w:lang w:val="en-AU"/>
        </w:rPr>
        <w:t>)</w:t>
      </w:r>
      <w:r w:rsidR="00DA3543">
        <w:rPr>
          <w:b w:val="0"/>
          <w:sz w:val="22"/>
          <w:szCs w:val="22"/>
          <w:lang w:val="en-AU"/>
        </w:rPr>
        <w:t xml:space="preserve"> said that they were only somewhat confident of using NAPLAN data to inform planning</w:t>
      </w:r>
      <w:r>
        <w:rPr>
          <w:b w:val="0"/>
          <w:sz w:val="22"/>
          <w:szCs w:val="22"/>
          <w:lang w:val="en-AU"/>
        </w:rPr>
        <w:t>.</w:t>
      </w:r>
    </w:p>
    <w:p w:rsidR="00F559D7" w:rsidRDefault="00F559D7" w:rsidP="00DE4348">
      <w:pPr>
        <w:pStyle w:val="ASRHeading3"/>
        <w:rPr>
          <w:b w:val="0"/>
          <w:sz w:val="22"/>
          <w:szCs w:val="22"/>
          <w:lang w:val="en-AU"/>
        </w:rPr>
      </w:pPr>
      <w:r>
        <w:rPr>
          <w:b w:val="0"/>
          <w:sz w:val="22"/>
          <w:szCs w:val="22"/>
          <w:lang w:val="en-AU"/>
        </w:rPr>
        <w:t xml:space="preserve">11 staff stated that they would like further training </w:t>
      </w:r>
      <w:r w:rsidR="008B6446">
        <w:rPr>
          <w:b w:val="0"/>
          <w:sz w:val="22"/>
          <w:szCs w:val="22"/>
          <w:lang w:val="en-AU"/>
        </w:rPr>
        <w:t xml:space="preserve">in </w:t>
      </w:r>
      <w:r>
        <w:rPr>
          <w:b w:val="0"/>
          <w:sz w:val="22"/>
          <w:szCs w:val="22"/>
          <w:lang w:val="en-AU"/>
        </w:rPr>
        <w:t xml:space="preserve">the teaching of English and in using the </w:t>
      </w:r>
      <w:proofErr w:type="spellStart"/>
      <w:r>
        <w:rPr>
          <w:b w:val="0"/>
          <w:sz w:val="22"/>
          <w:szCs w:val="22"/>
          <w:lang w:val="en-AU"/>
        </w:rPr>
        <w:t>Smartboard</w:t>
      </w:r>
      <w:proofErr w:type="spellEnd"/>
      <w:r>
        <w:rPr>
          <w:b w:val="0"/>
          <w:sz w:val="22"/>
          <w:szCs w:val="22"/>
          <w:lang w:val="en-AU"/>
        </w:rPr>
        <w:t xml:space="preserve"> to reinforce their Programs.</w:t>
      </w:r>
    </w:p>
    <w:p w:rsidR="00DE4348" w:rsidRDefault="00F559D7" w:rsidP="00DE4348">
      <w:pPr>
        <w:pStyle w:val="ASRHeading3"/>
        <w:rPr>
          <w:b w:val="0"/>
          <w:sz w:val="22"/>
          <w:szCs w:val="22"/>
          <w:lang w:val="en-AU"/>
        </w:rPr>
      </w:pPr>
      <w:r>
        <w:rPr>
          <w:b w:val="0"/>
          <w:sz w:val="22"/>
          <w:szCs w:val="22"/>
          <w:lang w:val="en-AU"/>
        </w:rPr>
        <w:t>Only 6 teachers said that they used the schools scope and sequence and 4 said that the home readers were suitable for their students. 5 teachers said that they sometimes have difficulty in assessment of English.</w:t>
      </w:r>
    </w:p>
    <w:p w:rsidR="00F559D7" w:rsidRDefault="00F559D7" w:rsidP="00DE4348">
      <w:pPr>
        <w:pStyle w:val="ASRHeading3"/>
        <w:rPr>
          <w:b w:val="0"/>
          <w:sz w:val="22"/>
          <w:szCs w:val="22"/>
          <w:lang w:val="en-AU"/>
        </w:rPr>
      </w:pPr>
      <w:r>
        <w:rPr>
          <w:b w:val="0"/>
          <w:sz w:val="22"/>
          <w:szCs w:val="22"/>
          <w:lang w:val="en-AU"/>
        </w:rPr>
        <w:t>In the writing survey all teachers believed that their students improved with their writing</w:t>
      </w:r>
      <w:r w:rsidR="00460CB7">
        <w:rPr>
          <w:b w:val="0"/>
          <w:sz w:val="22"/>
          <w:szCs w:val="22"/>
          <w:lang w:val="en-AU"/>
        </w:rPr>
        <w:t xml:space="preserve"> and most said that they always tell their students the purpose of their writing and that their teaching of Writing had improved last year.</w:t>
      </w:r>
    </w:p>
    <w:p w:rsidR="00460CB7" w:rsidRDefault="00460CB7" w:rsidP="00DE4348">
      <w:pPr>
        <w:pStyle w:val="ASRHeading3"/>
        <w:rPr>
          <w:b w:val="0"/>
          <w:sz w:val="22"/>
          <w:szCs w:val="22"/>
          <w:lang w:val="en-AU"/>
        </w:rPr>
      </w:pPr>
      <w:r>
        <w:rPr>
          <w:b w:val="0"/>
          <w:sz w:val="22"/>
          <w:szCs w:val="22"/>
          <w:lang w:val="en-AU"/>
        </w:rPr>
        <w:t xml:space="preserve">All teachers would like further training in the teaching of Spelling. They all state that they teach spelling in an explicit manner and that they have developed strategies to teach unknown words. </w:t>
      </w:r>
    </w:p>
    <w:p w:rsidR="00460CB7" w:rsidRDefault="00460CB7" w:rsidP="00DE4348">
      <w:pPr>
        <w:pStyle w:val="ASRHeading3"/>
        <w:rPr>
          <w:b w:val="0"/>
          <w:sz w:val="22"/>
          <w:szCs w:val="22"/>
          <w:lang w:val="en-AU"/>
        </w:rPr>
      </w:pPr>
      <w:r>
        <w:rPr>
          <w:b w:val="0"/>
          <w:sz w:val="22"/>
          <w:szCs w:val="22"/>
          <w:lang w:val="en-AU"/>
        </w:rPr>
        <w:t xml:space="preserve">Most </w:t>
      </w:r>
      <w:proofErr w:type="gramStart"/>
      <w:r>
        <w:rPr>
          <w:b w:val="0"/>
          <w:sz w:val="22"/>
          <w:szCs w:val="22"/>
          <w:lang w:val="en-AU"/>
        </w:rPr>
        <w:t>teachers</w:t>
      </w:r>
      <w:proofErr w:type="gramEnd"/>
      <w:r>
        <w:rPr>
          <w:b w:val="0"/>
          <w:sz w:val="22"/>
          <w:szCs w:val="22"/>
          <w:lang w:val="en-AU"/>
        </w:rPr>
        <w:t xml:space="preserve"> state that they enjoy using Spelling Conventions as a support document and that their students enjoy using it. However most state that this textbook does not fulfil the needs of all students </w:t>
      </w:r>
      <w:proofErr w:type="spellStart"/>
      <w:r>
        <w:rPr>
          <w:b w:val="0"/>
          <w:sz w:val="22"/>
          <w:szCs w:val="22"/>
          <w:lang w:val="en-AU"/>
        </w:rPr>
        <w:t>eg</w:t>
      </w:r>
      <w:proofErr w:type="spellEnd"/>
      <w:r>
        <w:rPr>
          <w:b w:val="0"/>
          <w:sz w:val="22"/>
          <w:szCs w:val="22"/>
          <w:lang w:val="en-AU"/>
        </w:rPr>
        <w:t xml:space="preserve">. </w:t>
      </w:r>
      <w:proofErr w:type="gramStart"/>
      <w:r>
        <w:rPr>
          <w:b w:val="0"/>
          <w:sz w:val="22"/>
          <w:szCs w:val="22"/>
          <w:lang w:val="en-AU"/>
        </w:rPr>
        <w:t>GATS, ESL, LD.</w:t>
      </w:r>
      <w:proofErr w:type="gramEnd"/>
    </w:p>
    <w:p w:rsidR="00460CB7" w:rsidRPr="00460CB7" w:rsidRDefault="00460CB7" w:rsidP="00DE4348">
      <w:pPr>
        <w:pStyle w:val="ASRHeading3"/>
        <w:rPr>
          <w:sz w:val="22"/>
          <w:szCs w:val="22"/>
          <w:lang w:val="en-AU"/>
        </w:rPr>
      </w:pPr>
      <w:r w:rsidRPr="00460CB7">
        <w:rPr>
          <w:sz w:val="22"/>
          <w:szCs w:val="22"/>
          <w:lang w:val="en-AU"/>
        </w:rPr>
        <w:t>Future Directions</w:t>
      </w:r>
    </w:p>
    <w:p w:rsidR="00460CB7" w:rsidRDefault="007C47E2" w:rsidP="00DE4348">
      <w:pPr>
        <w:pStyle w:val="ASRHeading3"/>
        <w:rPr>
          <w:b w:val="0"/>
          <w:sz w:val="22"/>
          <w:szCs w:val="22"/>
          <w:lang w:val="en-AU"/>
        </w:rPr>
      </w:pPr>
      <w:r>
        <w:rPr>
          <w:b w:val="0"/>
          <w:sz w:val="22"/>
          <w:szCs w:val="22"/>
          <w:lang w:val="en-AU"/>
        </w:rPr>
        <w:t xml:space="preserve">The Literacy Committee will further examine parent needs in regard to further training and where possible provide this for parents. They will also examine the current scope and sequence in all areas of the English Curriculum and redesign these so that they fulfil the needs of teachers and the curriculum. The new syllabus will be taken into consideration in this development. </w:t>
      </w:r>
    </w:p>
    <w:p w:rsidR="007C47E2" w:rsidRDefault="007C47E2" w:rsidP="00DE4348">
      <w:pPr>
        <w:pStyle w:val="ASRHeading3"/>
        <w:rPr>
          <w:b w:val="0"/>
          <w:sz w:val="22"/>
          <w:szCs w:val="22"/>
          <w:lang w:val="en-AU"/>
        </w:rPr>
      </w:pPr>
      <w:r>
        <w:rPr>
          <w:b w:val="0"/>
          <w:sz w:val="22"/>
          <w:szCs w:val="22"/>
          <w:lang w:val="en-AU"/>
        </w:rPr>
        <w:t xml:space="preserve">The English Committee will also look at further training for staff in Spelling and Writing and work with our technology team to look at further training in the use of the </w:t>
      </w:r>
      <w:proofErr w:type="spellStart"/>
      <w:r>
        <w:rPr>
          <w:b w:val="0"/>
          <w:sz w:val="22"/>
          <w:szCs w:val="22"/>
          <w:lang w:val="en-AU"/>
        </w:rPr>
        <w:t>Smartboard</w:t>
      </w:r>
      <w:proofErr w:type="spellEnd"/>
      <w:r>
        <w:rPr>
          <w:b w:val="0"/>
          <w:sz w:val="22"/>
          <w:szCs w:val="22"/>
          <w:lang w:val="en-AU"/>
        </w:rPr>
        <w:t>.</w:t>
      </w:r>
    </w:p>
    <w:p w:rsidR="007C47E2" w:rsidRDefault="007C47E2" w:rsidP="00DE4348">
      <w:pPr>
        <w:pStyle w:val="ASRHeading3"/>
        <w:rPr>
          <w:b w:val="0"/>
          <w:sz w:val="22"/>
          <w:szCs w:val="22"/>
          <w:lang w:val="en-AU"/>
        </w:rPr>
      </w:pPr>
      <w:r>
        <w:rPr>
          <w:b w:val="0"/>
          <w:sz w:val="22"/>
          <w:szCs w:val="22"/>
          <w:lang w:val="en-AU"/>
        </w:rPr>
        <w:t>The executive will provide support for teachers in the use of SMART data to inform their programming.</w:t>
      </w:r>
    </w:p>
    <w:p w:rsidR="007C47E2" w:rsidRPr="007D5D7F" w:rsidRDefault="007C47E2" w:rsidP="00DE4348">
      <w:pPr>
        <w:pStyle w:val="ASRHeading3"/>
        <w:rPr>
          <w:b w:val="0"/>
          <w:sz w:val="22"/>
          <w:szCs w:val="22"/>
          <w:lang w:val="en-AU"/>
        </w:rPr>
      </w:pPr>
      <w:r>
        <w:rPr>
          <w:b w:val="0"/>
          <w:sz w:val="22"/>
          <w:szCs w:val="22"/>
          <w:lang w:val="en-AU"/>
        </w:rPr>
        <w:t>The English Committee will also further survey the staff to determine more comprehensively their training needs in relation to Comprehension and Spelling.</w:t>
      </w:r>
    </w:p>
    <w:p w:rsidR="00C65E75" w:rsidRPr="00085217" w:rsidRDefault="008B6446" w:rsidP="00C65E75">
      <w:pPr>
        <w:pStyle w:val="ASRHeading2"/>
      </w:pPr>
      <w:r>
        <w:lastRenderedPageBreak/>
        <w:t>Parent, student</w:t>
      </w:r>
      <w:r w:rsidR="00C65E75" w:rsidRPr="00085217">
        <w:t xml:space="preserve"> and teacher satisfaction</w:t>
      </w:r>
    </w:p>
    <w:p w:rsidR="00C65E75" w:rsidRPr="00E618E8" w:rsidRDefault="00DD6872" w:rsidP="00C65E75">
      <w:pPr>
        <w:pStyle w:val="ASRBodyText"/>
      </w:pPr>
      <w:r>
        <w:t>In 2011</w:t>
      </w:r>
      <w:r w:rsidR="00C65E75" w:rsidRPr="00E618E8">
        <w:t xml:space="preserve"> the school sought the opinions of parents, students and teachers about the school. </w:t>
      </w:r>
    </w:p>
    <w:p w:rsidR="00C65E75" w:rsidRPr="00E618E8" w:rsidRDefault="00C65E75" w:rsidP="00C65E75">
      <w:pPr>
        <w:pStyle w:val="ASRBodyText"/>
      </w:pPr>
      <w:r w:rsidRPr="00E618E8">
        <w:t>Their responses are presented below.</w:t>
      </w:r>
    </w:p>
    <w:p w:rsidR="00C65E75" w:rsidRPr="00D01CE7" w:rsidRDefault="00C65E75" w:rsidP="00C65E75">
      <w:pPr>
        <w:pStyle w:val="ASRBodyText"/>
        <w:rPr>
          <w:iCs/>
          <w:lang w:val="en-AU"/>
        </w:rPr>
      </w:pPr>
      <w:r w:rsidRPr="00D01CE7">
        <w:rPr>
          <w:iCs/>
          <w:lang w:val="en-AU"/>
        </w:rPr>
        <w:t>The parent survey again c</w:t>
      </w:r>
      <w:r w:rsidR="00DD6872">
        <w:rPr>
          <w:iCs/>
          <w:lang w:val="en-AU"/>
        </w:rPr>
        <w:t>ame back very positive. Out of 50</w:t>
      </w:r>
      <w:r w:rsidRPr="00D01CE7">
        <w:rPr>
          <w:iCs/>
          <w:lang w:val="en-AU"/>
        </w:rPr>
        <w:t xml:space="preserve"> surveys handed out, </w:t>
      </w:r>
      <w:r w:rsidR="00DD6872">
        <w:rPr>
          <w:iCs/>
          <w:lang w:val="en-AU"/>
        </w:rPr>
        <w:t>31</w:t>
      </w:r>
      <w:r w:rsidRPr="00D01CE7">
        <w:rPr>
          <w:iCs/>
          <w:lang w:val="en-AU"/>
        </w:rPr>
        <w:t xml:space="preserve"> were returned. These were overall very positive with most responses being in the Strongly Agree or Agree rating. </w:t>
      </w:r>
    </w:p>
    <w:p w:rsidR="00C65E75" w:rsidRPr="00D01CE7" w:rsidRDefault="00C65E75" w:rsidP="00C65E75">
      <w:pPr>
        <w:pStyle w:val="ASRBodyText"/>
        <w:rPr>
          <w:iCs/>
          <w:lang w:val="en-AU"/>
        </w:rPr>
      </w:pPr>
      <w:r w:rsidRPr="00D01CE7">
        <w:rPr>
          <w:iCs/>
          <w:lang w:val="en-AU"/>
        </w:rPr>
        <w:t xml:space="preserve">The most positive responses were that </w:t>
      </w:r>
      <w:r w:rsidR="00674024">
        <w:rPr>
          <w:iCs/>
          <w:lang w:val="en-AU"/>
        </w:rPr>
        <w:t xml:space="preserve">the school office responds to enquiries and requests in a friendly manner, </w:t>
      </w:r>
      <w:r w:rsidRPr="00D01CE7">
        <w:rPr>
          <w:iCs/>
          <w:lang w:val="en-AU"/>
        </w:rPr>
        <w:t xml:space="preserve">the school </w:t>
      </w:r>
      <w:r w:rsidR="00DD6872">
        <w:rPr>
          <w:iCs/>
          <w:lang w:val="en-AU"/>
        </w:rPr>
        <w:t xml:space="preserve">promotes core values, has competent teachers, the school </w:t>
      </w:r>
      <w:r w:rsidRPr="00D01CE7">
        <w:rPr>
          <w:iCs/>
          <w:lang w:val="en-AU"/>
        </w:rPr>
        <w:t>is a friendly school that is tolerant and accepting of all students, the students are the school’s main concern</w:t>
      </w:r>
      <w:r w:rsidR="00DD6872">
        <w:rPr>
          <w:iCs/>
          <w:lang w:val="en-AU"/>
        </w:rPr>
        <w:t>, the school has supportive welfare programs</w:t>
      </w:r>
      <w:r w:rsidRPr="00D01CE7">
        <w:rPr>
          <w:iCs/>
          <w:lang w:val="en-AU"/>
        </w:rPr>
        <w:t xml:space="preserve"> and that the weekly newsletter keeps the community informed of ongoing events and important issues. </w:t>
      </w:r>
    </w:p>
    <w:p w:rsidR="00C65E75" w:rsidRPr="00D01CE7" w:rsidRDefault="00C65E75" w:rsidP="00C65E75">
      <w:pPr>
        <w:pStyle w:val="ASRBodyText"/>
        <w:rPr>
          <w:iCs/>
          <w:lang w:val="en-AU"/>
        </w:rPr>
      </w:pPr>
      <w:r w:rsidRPr="00D01CE7">
        <w:rPr>
          <w:iCs/>
          <w:lang w:val="en-AU"/>
        </w:rPr>
        <w:t xml:space="preserve">It was pleasing to note that the community believed we are improving in the area of technology. </w:t>
      </w:r>
      <w:r>
        <w:rPr>
          <w:iCs/>
          <w:lang w:val="en-AU"/>
        </w:rPr>
        <w:t>Nearly all believed that the new building works would be beneficial to the school.</w:t>
      </w:r>
      <w:r w:rsidRPr="00D01CE7">
        <w:rPr>
          <w:iCs/>
          <w:lang w:val="en-AU"/>
        </w:rPr>
        <w:t xml:space="preserve"> </w:t>
      </w:r>
      <w:r w:rsidR="00674024">
        <w:rPr>
          <w:iCs/>
          <w:lang w:val="en-AU"/>
        </w:rPr>
        <w:t xml:space="preserve">There were two parents that had a number of negative responses </w:t>
      </w:r>
      <w:r w:rsidR="00857349">
        <w:rPr>
          <w:iCs/>
          <w:lang w:val="en-AU"/>
        </w:rPr>
        <w:t>in a number of areas including f</w:t>
      </w:r>
      <w:r w:rsidR="00674024">
        <w:rPr>
          <w:iCs/>
          <w:lang w:val="en-AU"/>
        </w:rPr>
        <w:t>air discipline does not exist within the school, my child enjoys going to school each day and that the school is a friendly</w:t>
      </w:r>
      <w:r w:rsidR="00F244A4">
        <w:rPr>
          <w:iCs/>
          <w:lang w:val="en-AU"/>
        </w:rPr>
        <w:t xml:space="preserve"> place.</w:t>
      </w:r>
      <w:r w:rsidR="00674024">
        <w:rPr>
          <w:iCs/>
          <w:lang w:val="en-AU"/>
        </w:rPr>
        <w:t xml:space="preserve"> </w:t>
      </w:r>
    </w:p>
    <w:p w:rsidR="00C65E75" w:rsidRDefault="00857349" w:rsidP="00C65E75">
      <w:pPr>
        <w:pStyle w:val="ASRBodyText"/>
        <w:rPr>
          <w:iCs/>
          <w:lang w:val="en-AU"/>
        </w:rPr>
      </w:pPr>
      <w:r>
        <w:rPr>
          <w:iCs/>
          <w:lang w:val="en-AU"/>
        </w:rPr>
        <w:t>In 2012</w:t>
      </w:r>
      <w:r w:rsidR="00C65E75">
        <w:rPr>
          <w:iCs/>
          <w:lang w:val="en-AU"/>
        </w:rPr>
        <w:t xml:space="preserve"> we will ensure that we communicate our </w:t>
      </w:r>
      <w:r>
        <w:rPr>
          <w:iCs/>
          <w:lang w:val="en-AU"/>
        </w:rPr>
        <w:t>complaints policy</w:t>
      </w:r>
      <w:r w:rsidR="00C65E75">
        <w:rPr>
          <w:iCs/>
          <w:lang w:val="en-AU"/>
        </w:rPr>
        <w:t xml:space="preserve"> to our parents so they have a better understanding of how it operates and supports students, teachers and families.</w:t>
      </w:r>
    </w:p>
    <w:p w:rsidR="00C65E75" w:rsidRDefault="00C65E75" w:rsidP="00C65E75">
      <w:pPr>
        <w:pStyle w:val="ASRBodyText"/>
        <w:rPr>
          <w:iCs/>
          <w:lang w:val="en-AU"/>
        </w:rPr>
      </w:pPr>
      <w:r>
        <w:rPr>
          <w:iCs/>
          <w:lang w:val="en-AU"/>
        </w:rPr>
        <w:t xml:space="preserve">Students from Years 3-6 completed the survey online. The student’s responses were extremely positive especially in the area of technology. Students </w:t>
      </w:r>
      <w:r w:rsidR="00857349">
        <w:rPr>
          <w:iCs/>
          <w:lang w:val="en-AU"/>
        </w:rPr>
        <w:t xml:space="preserve">again </w:t>
      </w:r>
      <w:r>
        <w:rPr>
          <w:iCs/>
          <w:lang w:val="en-AU"/>
        </w:rPr>
        <w:t xml:space="preserve">believed that the Smartboards were helping them learn and that teachers used them well in class. </w:t>
      </w:r>
      <w:r w:rsidR="00857349">
        <w:rPr>
          <w:iCs/>
          <w:lang w:val="en-AU"/>
        </w:rPr>
        <w:t>Nearly all students thought that the new extensions to the classrooms improved their learning environment</w:t>
      </w:r>
      <w:r>
        <w:rPr>
          <w:iCs/>
          <w:lang w:val="en-AU"/>
        </w:rPr>
        <w:t>.</w:t>
      </w:r>
    </w:p>
    <w:p w:rsidR="00C65E75" w:rsidRPr="00D01CE7" w:rsidRDefault="00C65E75" w:rsidP="00C65E75">
      <w:pPr>
        <w:pStyle w:val="ASRBodyText"/>
        <w:rPr>
          <w:iCs/>
          <w:lang w:val="en-AU"/>
        </w:rPr>
      </w:pPr>
      <w:r>
        <w:rPr>
          <w:iCs/>
          <w:lang w:val="en-AU"/>
        </w:rPr>
        <w:t>Teachers again were positive overall in their responses, the main areas were technology and academic achievement.</w:t>
      </w:r>
      <w:r w:rsidR="00857349">
        <w:rPr>
          <w:iCs/>
          <w:lang w:val="en-AU"/>
        </w:rPr>
        <w:t xml:space="preserve"> The teachers identified a number of areas that they would like further training and development in especially in the teaching of comprehension, spelling and grammar</w:t>
      </w:r>
      <w:r>
        <w:rPr>
          <w:iCs/>
          <w:lang w:val="en-AU"/>
        </w:rPr>
        <w:t>.</w:t>
      </w:r>
    </w:p>
    <w:p w:rsidR="009974E3" w:rsidRPr="000A11D6" w:rsidRDefault="009974E3" w:rsidP="00FD59D8">
      <w:pPr>
        <w:pStyle w:val="ASRHeading2"/>
        <w:outlineLvl w:val="1"/>
      </w:pPr>
      <w:bookmarkStart w:id="44" w:name="_Toc210703322"/>
      <w:bookmarkStart w:id="45" w:name="_Toc210703403"/>
      <w:bookmarkStart w:id="46" w:name="_Toc210703669"/>
      <w:bookmarkStart w:id="47" w:name="_Toc306703611"/>
      <w:r w:rsidRPr="00EB32A6">
        <w:lastRenderedPageBreak/>
        <w:t>Professional</w:t>
      </w:r>
      <w:r w:rsidRPr="000A11D6">
        <w:t xml:space="preserve"> learning</w:t>
      </w:r>
      <w:bookmarkEnd w:id="44"/>
      <w:bookmarkEnd w:id="45"/>
      <w:bookmarkEnd w:id="46"/>
      <w:bookmarkEnd w:id="47"/>
    </w:p>
    <w:p w:rsidR="00D75695" w:rsidRPr="00D01CE7" w:rsidRDefault="00D75695" w:rsidP="00D75695">
      <w:pPr>
        <w:pStyle w:val="ASRBodyText"/>
        <w:rPr>
          <w:iCs/>
          <w:lang w:val="en-AU"/>
        </w:rPr>
      </w:pPr>
      <w:bookmarkStart w:id="48" w:name="_Toc210703323"/>
      <w:bookmarkStart w:id="49" w:name="_Toc210703404"/>
      <w:bookmarkStart w:id="50" w:name="_Toc210703670"/>
      <w:bookmarkStart w:id="51" w:name="_Toc210703827"/>
      <w:bookmarkStart w:id="52" w:name="_Toc212261557"/>
      <w:bookmarkStart w:id="53" w:name="_Toc212261683"/>
      <w:bookmarkStart w:id="54" w:name="_Toc306703612"/>
      <w:r w:rsidRPr="00D01CE7">
        <w:rPr>
          <w:iCs/>
          <w:lang w:val="en-AU"/>
        </w:rPr>
        <w:t xml:space="preserve">The school spent around $17,000 </w:t>
      </w:r>
      <w:r>
        <w:rPr>
          <w:iCs/>
          <w:lang w:val="en-AU"/>
        </w:rPr>
        <w:t>on professional learning in 2010</w:t>
      </w:r>
      <w:r w:rsidRPr="00D01CE7">
        <w:rPr>
          <w:iCs/>
          <w:lang w:val="en-AU"/>
        </w:rPr>
        <w:t>, targeting literacy, numeracy, welfare and other aspects of teacher’s professional learning plans.</w:t>
      </w:r>
    </w:p>
    <w:p w:rsidR="009974E3" w:rsidRPr="000A11D6" w:rsidRDefault="00D016EF" w:rsidP="00D75695">
      <w:pPr>
        <w:pStyle w:val="ASRHeading1"/>
        <w:outlineLvl w:val="0"/>
      </w:pPr>
      <w:r>
        <w:t>School planning 2012—</w:t>
      </w:r>
      <w:r w:rsidR="009974E3" w:rsidRPr="000A11D6">
        <w:t>20</w:t>
      </w:r>
      <w:bookmarkEnd w:id="48"/>
      <w:bookmarkEnd w:id="49"/>
      <w:bookmarkEnd w:id="50"/>
      <w:bookmarkEnd w:id="51"/>
      <w:bookmarkEnd w:id="52"/>
      <w:bookmarkEnd w:id="53"/>
      <w:r w:rsidR="009974E3" w:rsidRPr="000A11D6">
        <w:t>14</w:t>
      </w:r>
      <w:bookmarkEnd w:id="54"/>
    </w:p>
    <w:p w:rsidR="00487A68" w:rsidRPr="00F00F80" w:rsidRDefault="00F00F80" w:rsidP="00C4230E">
      <w:pPr>
        <w:pStyle w:val="ASRBodyText"/>
      </w:pPr>
      <w:bookmarkStart w:id="55" w:name="_Toc212261684"/>
      <w:bookmarkStart w:id="56" w:name="_Toc212261558"/>
      <w:bookmarkStart w:id="57" w:name="_Toc210703828"/>
      <w:bookmarkStart w:id="58" w:name="_Toc210703671"/>
      <w:bookmarkStart w:id="59" w:name="_Toc210703405"/>
      <w:bookmarkStart w:id="60" w:name="_Toc210703324"/>
      <w:r w:rsidRPr="00F00F80">
        <w:t>The school planning policy provides direction for the preparation and implementation of school plans including the identification of priority areas, intended outcomes and targets that are consistent with the NSW State Plan and the Department’s planning documents.</w:t>
      </w:r>
    </w:p>
    <w:p w:rsidR="00F00F80" w:rsidRPr="00E85B24" w:rsidRDefault="00F00F80" w:rsidP="00FD59D8">
      <w:pPr>
        <w:pStyle w:val="ASRHeading2"/>
        <w:outlineLvl w:val="1"/>
      </w:pPr>
      <w:bookmarkStart w:id="61" w:name="_Toc306703613"/>
      <w:r w:rsidRPr="00E85B24">
        <w:t>School priority 1</w:t>
      </w:r>
      <w:bookmarkEnd w:id="61"/>
    </w:p>
    <w:p w:rsidR="00F00F80" w:rsidRPr="00E85B24" w:rsidRDefault="00F00F80" w:rsidP="00FD59D8">
      <w:pPr>
        <w:pStyle w:val="ASRHeading3"/>
        <w:outlineLvl w:val="2"/>
      </w:pPr>
      <w:bookmarkStart w:id="62" w:name="_Toc306703614"/>
      <w:r w:rsidRPr="00E85B24">
        <w:t>Outcome for 2012–2014</w:t>
      </w:r>
      <w:bookmarkEnd w:id="62"/>
    </w:p>
    <w:p w:rsidR="00F244A4" w:rsidRPr="00C67A6B" w:rsidRDefault="00487A68" w:rsidP="00C67A6B">
      <w:pPr>
        <w:pStyle w:val="ASRHeading3"/>
        <w:rPr>
          <w:rFonts w:eastAsia="Times New Roman"/>
          <w:lang w:val="en-AU" w:eastAsia="en-AU" w:bidi="ar-SA"/>
        </w:rPr>
      </w:pPr>
      <w:r w:rsidRPr="00487A68">
        <w:rPr>
          <w:rFonts w:eastAsia="Times New Roman"/>
          <w:lang w:val="en-AU" w:eastAsia="en-AU" w:bidi="ar-SA"/>
        </w:rPr>
        <w:t>Increased level of numeracy achievement for every student in line with state plan and regional targets</w:t>
      </w:r>
    </w:p>
    <w:p w:rsidR="00F00F80" w:rsidRPr="00E85B24" w:rsidRDefault="00F00F80" w:rsidP="00C4230E">
      <w:pPr>
        <w:pStyle w:val="ASRHeading4"/>
      </w:pPr>
      <w:r w:rsidRPr="00E85B24">
        <w:t>2012 Targets to achieve this outcome include:</w:t>
      </w:r>
    </w:p>
    <w:p w:rsidR="00CF43E8" w:rsidRDefault="00CF43E8" w:rsidP="00CF43E8">
      <w:pPr>
        <w:pStyle w:val="ASRListBullet"/>
      </w:pPr>
      <w:r>
        <w:rPr>
          <w:rFonts w:ascii="Calibri" w:hAnsi="Calibri" w:cs="Calibri"/>
        </w:rPr>
        <w:t>To improve numeracy standards of al</w:t>
      </w:r>
      <w:r w:rsidR="00F244A4">
        <w:rPr>
          <w:rFonts w:ascii="Calibri" w:hAnsi="Calibri" w:cs="Calibri"/>
        </w:rPr>
        <w:t>l students in the Measurement, Data</w:t>
      </w:r>
      <w:r w:rsidR="00C7790F">
        <w:rPr>
          <w:rFonts w:ascii="Calibri" w:hAnsi="Calibri" w:cs="Calibri"/>
        </w:rPr>
        <w:t>,</w:t>
      </w:r>
      <w:r w:rsidR="00F244A4">
        <w:rPr>
          <w:rFonts w:ascii="Calibri" w:hAnsi="Calibri" w:cs="Calibri"/>
        </w:rPr>
        <w:t xml:space="preserve"> Space and Geometry strands;</w:t>
      </w:r>
      <w:r>
        <w:rPr>
          <w:rFonts w:ascii="Calibri" w:hAnsi="Calibri" w:cs="Calibri"/>
        </w:rPr>
        <w:t xml:space="preserve"> </w:t>
      </w:r>
    </w:p>
    <w:p w:rsidR="00CF43E8" w:rsidRDefault="00CF43E8" w:rsidP="00CF43E8">
      <w:pPr>
        <w:pStyle w:val="ASRListBullet"/>
      </w:pPr>
      <w:r>
        <w:rPr>
          <w:rFonts w:ascii="Calibri" w:hAnsi="Calibri" w:cs="Calibri"/>
        </w:rPr>
        <w:t>To improve numeracy skills of all students such that the growth rate is an average of 95 points in the NAPLAN</w:t>
      </w:r>
      <w:r w:rsidR="00F244A4">
        <w:rPr>
          <w:rFonts w:ascii="Calibri" w:hAnsi="Calibri" w:cs="Calibri"/>
        </w:rPr>
        <w:t>;</w:t>
      </w:r>
    </w:p>
    <w:p w:rsidR="00CF43E8" w:rsidRDefault="00CF43E8" w:rsidP="00CF43E8">
      <w:pPr>
        <w:pStyle w:val="ASRListBullet"/>
      </w:pPr>
      <w:r>
        <w:rPr>
          <w:rFonts w:ascii="Calibri" w:hAnsi="Calibri" w:cs="Calibri"/>
        </w:rPr>
        <w:t xml:space="preserve">To improve the number of Year 3 students </w:t>
      </w:r>
      <w:r w:rsidR="00F244A4">
        <w:rPr>
          <w:rFonts w:ascii="Calibri" w:hAnsi="Calibri" w:cs="Calibri"/>
        </w:rPr>
        <w:t xml:space="preserve">in </w:t>
      </w:r>
      <w:r>
        <w:rPr>
          <w:rFonts w:ascii="Calibri" w:hAnsi="Calibri" w:cs="Calibri"/>
        </w:rPr>
        <w:t>Bands 5 and 6 to 50%</w:t>
      </w:r>
      <w:r w:rsidR="00F244A4">
        <w:rPr>
          <w:rFonts w:ascii="Calibri" w:hAnsi="Calibri" w:cs="Calibri"/>
        </w:rPr>
        <w:t>;</w:t>
      </w:r>
    </w:p>
    <w:p w:rsidR="00CF43E8" w:rsidRDefault="00CF43E8" w:rsidP="00CF43E8">
      <w:pPr>
        <w:pStyle w:val="ASRListBullet"/>
      </w:pPr>
      <w:r>
        <w:rPr>
          <w:rFonts w:ascii="Calibri" w:hAnsi="Calibri" w:cs="Calibri"/>
        </w:rPr>
        <w:t>To improve the number of students in Bands 7 and 8 to 30% in the numeracy areas</w:t>
      </w:r>
      <w:r w:rsidR="00F244A4">
        <w:t xml:space="preserve"> of NAPLAN;</w:t>
      </w:r>
    </w:p>
    <w:p w:rsidR="00F00F80" w:rsidRPr="00E85B24" w:rsidRDefault="00CF43E8" w:rsidP="00CF43E8">
      <w:pPr>
        <w:pStyle w:val="ASRListBullet"/>
      </w:pPr>
      <w:r>
        <w:rPr>
          <w:rFonts w:ascii="Calibri" w:hAnsi="Calibri" w:cs="Calibri"/>
        </w:rPr>
        <w:t xml:space="preserve">To improve numeracy skills so that 75% of students achieve minimum growth in </w:t>
      </w:r>
      <w:r w:rsidR="00F244A4">
        <w:rPr>
          <w:rFonts w:ascii="Calibri" w:hAnsi="Calibri" w:cs="Calibri"/>
        </w:rPr>
        <w:t xml:space="preserve">Numeracy. </w:t>
      </w:r>
    </w:p>
    <w:p w:rsidR="00F00F80" w:rsidRPr="00E85B24" w:rsidRDefault="00F00F80" w:rsidP="00340D4F">
      <w:pPr>
        <w:pStyle w:val="ASRHeading4"/>
      </w:pPr>
      <w:r w:rsidRPr="00E85B24">
        <w:t>Strategies to achieve these targets include:</w:t>
      </w:r>
    </w:p>
    <w:p w:rsidR="00CF43E8" w:rsidRPr="009C3D34" w:rsidRDefault="00CF43E8" w:rsidP="00CF43E8">
      <w:pPr>
        <w:pStyle w:val="ASRListBullet1"/>
        <w:numPr>
          <w:ilvl w:val="0"/>
          <w:numId w:val="1"/>
        </w:numPr>
        <w:ind w:left="378"/>
      </w:pPr>
      <w:bookmarkStart w:id="63" w:name="_Toc306703616"/>
      <w:r>
        <w:t>Staff to use SMART package to inform programming and individual student support</w:t>
      </w:r>
      <w:r w:rsidR="00F244A4">
        <w:t>;</w:t>
      </w:r>
    </w:p>
    <w:p w:rsidR="00CF43E8" w:rsidRPr="009C3D34" w:rsidRDefault="00CF43E8" w:rsidP="00CF43E8">
      <w:pPr>
        <w:pStyle w:val="ASRListBullet1"/>
        <w:numPr>
          <w:ilvl w:val="0"/>
          <w:numId w:val="1"/>
        </w:numPr>
        <w:ind w:left="378"/>
      </w:pPr>
      <w:r>
        <w:t>Review scope and sequence to ensure all aspects of the curriculum are being taught and that this is</w:t>
      </w:r>
      <w:r w:rsidR="00F244A4">
        <w:t xml:space="preserve"> reflected in teachers programs;</w:t>
      </w:r>
    </w:p>
    <w:p w:rsidR="00C67A6B" w:rsidRDefault="00CF43E8" w:rsidP="00487A68">
      <w:pPr>
        <w:pStyle w:val="ASRListBullet1"/>
        <w:numPr>
          <w:ilvl w:val="0"/>
          <w:numId w:val="1"/>
        </w:numPr>
        <w:ind w:left="378"/>
      </w:pPr>
      <w:r>
        <w:t>Provide relevant resources and training and development for staff.</w:t>
      </w:r>
    </w:p>
    <w:p w:rsidR="00E95952" w:rsidRDefault="00E95952" w:rsidP="00487A68">
      <w:pPr>
        <w:pStyle w:val="ASRHeading3"/>
      </w:pPr>
    </w:p>
    <w:p w:rsidR="00487A68" w:rsidRPr="00E95952" w:rsidRDefault="00487A68" w:rsidP="00487A68">
      <w:pPr>
        <w:pStyle w:val="ASRHeading3"/>
        <w:rPr>
          <w:sz w:val="22"/>
          <w:szCs w:val="22"/>
        </w:rPr>
      </w:pPr>
      <w:r w:rsidRPr="00E95952">
        <w:rPr>
          <w:sz w:val="22"/>
          <w:szCs w:val="22"/>
        </w:rPr>
        <w:lastRenderedPageBreak/>
        <w:t>School priority 2</w:t>
      </w:r>
    </w:p>
    <w:p w:rsidR="00F00F80" w:rsidRPr="00E95952" w:rsidRDefault="00F00F80" w:rsidP="00FD59D8">
      <w:pPr>
        <w:pStyle w:val="ASRHeading3"/>
        <w:outlineLvl w:val="2"/>
        <w:rPr>
          <w:sz w:val="22"/>
          <w:szCs w:val="22"/>
        </w:rPr>
      </w:pPr>
      <w:r w:rsidRPr="00E95952">
        <w:rPr>
          <w:sz w:val="22"/>
          <w:szCs w:val="22"/>
        </w:rPr>
        <w:t>Outcome for 2012–2014</w:t>
      </w:r>
      <w:bookmarkEnd w:id="63"/>
    </w:p>
    <w:p w:rsidR="00CF43E8" w:rsidRPr="00E95952" w:rsidRDefault="00CF43E8" w:rsidP="00CF43E8">
      <w:pPr>
        <w:pStyle w:val="ASRHeading3"/>
        <w:rPr>
          <w:sz w:val="22"/>
          <w:szCs w:val="22"/>
          <w:lang w:val="en-AU"/>
        </w:rPr>
      </w:pPr>
      <w:r w:rsidRPr="00E95952">
        <w:rPr>
          <w:sz w:val="22"/>
          <w:szCs w:val="22"/>
          <w:lang w:val="en-AU"/>
        </w:rPr>
        <w:t>Increased level of achievement of Stage outcomes in Literacy will be demonstrated by school based and NAPLAN data in line with state and regional targets</w:t>
      </w:r>
    </w:p>
    <w:p w:rsidR="00F00F80" w:rsidRPr="00E95952" w:rsidRDefault="00F00F80" w:rsidP="00CF43E8">
      <w:pPr>
        <w:pStyle w:val="ASRHeading3"/>
        <w:rPr>
          <w:sz w:val="22"/>
          <w:szCs w:val="22"/>
        </w:rPr>
      </w:pPr>
      <w:r w:rsidRPr="00E95952">
        <w:rPr>
          <w:sz w:val="22"/>
          <w:szCs w:val="22"/>
        </w:rPr>
        <w:t>2012 Targets to achieve this outcome include:</w:t>
      </w:r>
    </w:p>
    <w:p w:rsidR="00CF43E8" w:rsidRPr="00CF43E8" w:rsidRDefault="00CF43E8" w:rsidP="00CF43E8">
      <w:pPr>
        <w:pStyle w:val="ASRListBullet"/>
      </w:pPr>
      <w:r w:rsidRPr="00CF43E8">
        <w:t>To improve writing skills of all students such that the growth rate is an average of 72 points in the NAPLAN</w:t>
      </w:r>
      <w:r w:rsidR="00F244A4">
        <w:t xml:space="preserve"> and in reading (av. 90 points);</w:t>
      </w:r>
      <w:r w:rsidRPr="00CF43E8">
        <w:t xml:space="preserve"> </w:t>
      </w:r>
    </w:p>
    <w:p w:rsidR="00CF43E8" w:rsidRPr="00CF43E8" w:rsidRDefault="00CF43E8" w:rsidP="00CF43E8">
      <w:pPr>
        <w:pStyle w:val="ASRListBullet"/>
      </w:pPr>
      <w:r w:rsidRPr="00CF43E8">
        <w:t xml:space="preserve">To improve literacy skills so that 50% of students achieve </w:t>
      </w:r>
      <w:r w:rsidR="00F244A4" w:rsidRPr="00CF43E8">
        <w:t>minimum</w:t>
      </w:r>
      <w:r w:rsidRPr="00CF43E8">
        <w:t xml:space="preserve"> growth</w:t>
      </w:r>
      <w:r w:rsidR="00F244A4">
        <w:t xml:space="preserve"> in writing and 80% in Reading;</w:t>
      </w:r>
      <w:r w:rsidRPr="00CF43E8">
        <w:t xml:space="preserve"> </w:t>
      </w:r>
    </w:p>
    <w:p w:rsidR="00CF43E8" w:rsidRPr="00CF43E8" w:rsidRDefault="00CF43E8" w:rsidP="00CF43E8">
      <w:pPr>
        <w:pStyle w:val="ASRListBullet"/>
      </w:pPr>
      <w:r w:rsidRPr="00CF43E8">
        <w:t xml:space="preserve">To improve the number of Year 3 students in Bands 5 and 6 to 40% in Reading and 40% in writing and 35% in spelling </w:t>
      </w:r>
      <w:r w:rsidR="00F244A4">
        <w:t>in the literacy areas of NAPLAN;</w:t>
      </w:r>
      <w:r w:rsidRPr="00CF43E8">
        <w:t xml:space="preserve"> </w:t>
      </w:r>
    </w:p>
    <w:p w:rsidR="00CF43E8" w:rsidRPr="00CF43E8" w:rsidRDefault="00CF43E8" w:rsidP="00CF43E8">
      <w:pPr>
        <w:pStyle w:val="ASRListBullet"/>
      </w:pPr>
      <w:r w:rsidRPr="00CF43E8">
        <w:t xml:space="preserve">To improve the number of Year 5 students in Bands 7 and 8 to 35% in Reading and 28% in writing ( with 10% in Band 8) and 10% in Band 8 in Spelling </w:t>
      </w:r>
      <w:r w:rsidR="00F244A4">
        <w:t>in the literacy areas of NAPLAN;</w:t>
      </w:r>
      <w:r w:rsidRPr="00CF43E8">
        <w:t xml:space="preserve"> </w:t>
      </w:r>
    </w:p>
    <w:p w:rsidR="00CF43E8" w:rsidRDefault="00CF43E8" w:rsidP="00340D4F">
      <w:pPr>
        <w:pStyle w:val="ASRListBullet"/>
      </w:pPr>
      <w:r w:rsidRPr="00CF43E8">
        <w:t>75% of all students in Early Stage 1 and Stage 1 achieve Regional Benchmark exit levels for Reading</w:t>
      </w:r>
      <w:r w:rsidR="00F244A4">
        <w:t>.</w:t>
      </w:r>
    </w:p>
    <w:p w:rsidR="00F00F80" w:rsidRPr="00E85B24" w:rsidRDefault="00F00F80" w:rsidP="00340D4F">
      <w:pPr>
        <w:pStyle w:val="ASRHeading4"/>
      </w:pPr>
      <w:r w:rsidRPr="00E85B24">
        <w:t>Strategies to achieve these targets include:</w:t>
      </w:r>
    </w:p>
    <w:p w:rsidR="00CF43E8" w:rsidRPr="009C3D34" w:rsidRDefault="00CF43E8" w:rsidP="00CF43E8">
      <w:pPr>
        <w:pStyle w:val="ASRListBullet1"/>
        <w:numPr>
          <w:ilvl w:val="0"/>
          <w:numId w:val="1"/>
        </w:numPr>
        <w:ind w:left="378"/>
      </w:pPr>
      <w:r>
        <w:t>Review scope and sequence of reading and spelling</w:t>
      </w:r>
      <w:r w:rsidR="00F244A4">
        <w:t>;</w:t>
      </w:r>
    </w:p>
    <w:p w:rsidR="00CF43E8" w:rsidRPr="009C3D34" w:rsidRDefault="00CF43E8" w:rsidP="00CF43E8">
      <w:pPr>
        <w:pStyle w:val="ASRListBullet1"/>
        <w:numPr>
          <w:ilvl w:val="0"/>
          <w:numId w:val="1"/>
        </w:numPr>
        <w:ind w:left="378"/>
      </w:pPr>
      <w:r>
        <w:t xml:space="preserve">Training and development of specific teaching strategies for guided reading, </w:t>
      </w:r>
      <w:r w:rsidR="000C594C">
        <w:t xml:space="preserve">writing, </w:t>
      </w:r>
      <w:r>
        <w:t>comprehension and spelling</w:t>
      </w:r>
      <w:r w:rsidR="00F244A4">
        <w:t>;</w:t>
      </w:r>
    </w:p>
    <w:p w:rsidR="005967A4" w:rsidRDefault="00CF43E8" w:rsidP="00487A68">
      <w:pPr>
        <w:pStyle w:val="ASRListBullet1"/>
        <w:numPr>
          <w:ilvl w:val="0"/>
          <w:numId w:val="1"/>
        </w:numPr>
        <w:ind w:left="378"/>
      </w:pPr>
      <w:r>
        <w:t>Provide relevant resources for the teaching of reading comprehension and spelling.</w:t>
      </w:r>
    </w:p>
    <w:p w:rsidR="00487A68" w:rsidRPr="00E95952" w:rsidRDefault="00487A68" w:rsidP="00487A68">
      <w:pPr>
        <w:pStyle w:val="ASRHeading3"/>
        <w:rPr>
          <w:rFonts w:eastAsia="Times New Roman" w:cs="Times New Roman"/>
          <w:sz w:val="22"/>
          <w:szCs w:val="22"/>
        </w:rPr>
      </w:pPr>
      <w:r w:rsidRPr="00E95952">
        <w:rPr>
          <w:sz w:val="22"/>
          <w:szCs w:val="22"/>
        </w:rPr>
        <w:t>School Priority 3</w:t>
      </w:r>
    </w:p>
    <w:p w:rsidR="00487A68" w:rsidRPr="00E95952" w:rsidRDefault="00487A68" w:rsidP="00487A68">
      <w:pPr>
        <w:pStyle w:val="ASRHeading3"/>
        <w:rPr>
          <w:sz w:val="22"/>
          <w:szCs w:val="22"/>
          <w:lang w:val="en-AU"/>
        </w:rPr>
      </w:pPr>
      <w:r w:rsidRPr="00E95952">
        <w:rPr>
          <w:sz w:val="22"/>
          <w:szCs w:val="22"/>
          <w:lang w:val="en-AU"/>
        </w:rPr>
        <w:t xml:space="preserve">Increased level of achievement of Early Stage 1 </w:t>
      </w:r>
      <w:proofErr w:type="gramStart"/>
      <w:r w:rsidRPr="00E95952">
        <w:rPr>
          <w:sz w:val="22"/>
          <w:szCs w:val="22"/>
          <w:lang w:val="en-AU"/>
        </w:rPr>
        <w:t>outcomes</w:t>
      </w:r>
      <w:proofErr w:type="gramEnd"/>
      <w:r w:rsidRPr="00E95952">
        <w:rPr>
          <w:sz w:val="22"/>
          <w:szCs w:val="22"/>
          <w:lang w:val="en-AU"/>
        </w:rPr>
        <w:t xml:space="preserve"> in Literacy and Numeracy will be demonstrated by school based and Best Start data in line with state and regional targets</w:t>
      </w:r>
    </w:p>
    <w:p w:rsidR="00487A68" w:rsidRPr="00E95952" w:rsidRDefault="00487A68" w:rsidP="00487A68">
      <w:pPr>
        <w:pStyle w:val="ASRHeading3"/>
        <w:rPr>
          <w:sz w:val="22"/>
          <w:szCs w:val="22"/>
        </w:rPr>
      </w:pPr>
      <w:r w:rsidRPr="00E95952">
        <w:rPr>
          <w:sz w:val="22"/>
          <w:szCs w:val="22"/>
        </w:rPr>
        <w:t>2012 Targets to achieve this outcome include:</w:t>
      </w:r>
    </w:p>
    <w:p w:rsidR="00487A68" w:rsidRDefault="00487A68" w:rsidP="00F244A4">
      <w:pPr>
        <w:pStyle w:val="ASRListBullet1"/>
        <w:numPr>
          <w:ilvl w:val="0"/>
          <w:numId w:val="1"/>
        </w:numPr>
        <w:spacing w:before="0" w:after="0"/>
        <w:ind w:left="374" w:hanging="357"/>
      </w:pPr>
      <w:r>
        <w:t xml:space="preserve">75% of children in Early Stage 1 will reach the </w:t>
      </w:r>
    </w:p>
    <w:p w:rsidR="00487A68" w:rsidRDefault="00F244A4" w:rsidP="00F244A4">
      <w:pPr>
        <w:pStyle w:val="ASRListBullet1"/>
        <w:spacing w:before="0"/>
        <w:ind w:left="17" w:firstLine="357"/>
      </w:pPr>
      <w:proofErr w:type="gramStart"/>
      <w:r>
        <w:t>regional</w:t>
      </w:r>
      <w:proofErr w:type="gramEnd"/>
      <w:r>
        <w:t xml:space="preserve"> literacy benchmark;</w:t>
      </w:r>
      <w:r w:rsidR="00487A68">
        <w:t xml:space="preserve"> </w:t>
      </w:r>
    </w:p>
    <w:p w:rsidR="00487A68" w:rsidRDefault="00487A68" w:rsidP="00487A68">
      <w:pPr>
        <w:pStyle w:val="ASRListBullet1"/>
        <w:numPr>
          <w:ilvl w:val="0"/>
          <w:numId w:val="1"/>
        </w:numPr>
        <w:ind w:left="378"/>
      </w:pPr>
      <w:r>
        <w:t>75% of children in Year 1 will reach t</w:t>
      </w:r>
      <w:r w:rsidR="00F244A4">
        <w:t>he regional literacy benchmark;</w:t>
      </w:r>
    </w:p>
    <w:p w:rsidR="005169E5" w:rsidRPr="005169E5" w:rsidRDefault="00487A68" w:rsidP="00487A68">
      <w:pPr>
        <w:pStyle w:val="ASRListBullet1"/>
        <w:numPr>
          <w:ilvl w:val="0"/>
          <w:numId w:val="1"/>
        </w:numPr>
        <w:ind w:left="378"/>
      </w:pPr>
      <w:r>
        <w:t>75% of children in Year 2 will reach the regional literacy benchmark.</w:t>
      </w:r>
      <w:r w:rsidR="005169E5" w:rsidRPr="005169E5">
        <w:rPr>
          <w:rFonts w:ascii="Trebuchet MS" w:eastAsiaTheme="minorEastAsia" w:hAnsi="Trebuchet MS" w:cstheme="minorBidi"/>
          <w:sz w:val="16"/>
          <w:szCs w:val="16"/>
        </w:rPr>
        <w:t xml:space="preserve"> </w:t>
      </w:r>
    </w:p>
    <w:p w:rsidR="005169E5" w:rsidRDefault="005169E5" w:rsidP="00487A68">
      <w:pPr>
        <w:pStyle w:val="ASRListBullet1"/>
        <w:numPr>
          <w:ilvl w:val="0"/>
          <w:numId w:val="1"/>
        </w:numPr>
        <w:ind w:left="378"/>
      </w:pPr>
      <w:r w:rsidRPr="005169E5">
        <w:lastRenderedPageBreak/>
        <w:t xml:space="preserve">Increased level of achievement of Early Stage 1 outcomes in Literacy will be demonstrated by school based and Best Start data in line </w:t>
      </w:r>
      <w:r>
        <w:t>with state and regional targets</w:t>
      </w:r>
    </w:p>
    <w:p w:rsidR="00487A68" w:rsidRPr="00E95952" w:rsidRDefault="00487A68" w:rsidP="00487A68">
      <w:pPr>
        <w:pStyle w:val="ASRHeading3"/>
        <w:rPr>
          <w:rFonts w:eastAsia="Times New Roman" w:cs="Times New Roman"/>
          <w:sz w:val="22"/>
          <w:szCs w:val="22"/>
        </w:rPr>
      </w:pPr>
      <w:r w:rsidRPr="00E95952">
        <w:rPr>
          <w:rFonts w:eastAsia="Times New Roman" w:cs="Times New Roman"/>
          <w:sz w:val="22"/>
          <w:szCs w:val="22"/>
        </w:rPr>
        <w:t xml:space="preserve">Strategies to achieve this target include: </w:t>
      </w:r>
    </w:p>
    <w:p w:rsidR="00487A68" w:rsidRDefault="00487A68" w:rsidP="00487A68">
      <w:pPr>
        <w:pStyle w:val="ASRListBullet1"/>
        <w:numPr>
          <w:ilvl w:val="0"/>
          <w:numId w:val="1"/>
        </w:numPr>
        <w:ind w:left="378"/>
      </w:pPr>
      <w:r>
        <w:t>Ongoing support a</w:t>
      </w:r>
      <w:r w:rsidR="00F843B3">
        <w:t>nd resourcing of the Best Start</w:t>
      </w:r>
      <w:r w:rsidR="00F244A4">
        <w:t xml:space="preserve"> program;</w:t>
      </w:r>
    </w:p>
    <w:p w:rsidR="00487A68" w:rsidRDefault="00487A68" w:rsidP="00487A68">
      <w:pPr>
        <w:pStyle w:val="ASRListBullet1"/>
        <w:numPr>
          <w:ilvl w:val="0"/>
          <w:numId w:val="1"/>
        </w:numPr>
        <w:ind w:left="378"/>
      </w:pPr>
      <w:r>
        <w:t>Teacher professional development in Best Start for all Early Stage 1 and Stage 1 teachers</w:t>
      </w:r>
      <w:r w:rsidR="00F244A4">
        <w:t>;</w:t>
      </w:r>
      <w:r>
        <w:t xml:space="preserve"> </w:t>
      </w:r>
    </w:p>
    <w:p w:rsidR="00487A68" w:rsidRDefault="00487A68" w:rsidP="00487A68">
      <w:pPr>
        <w:pStyle w:val="ASRListBullet1"/>
        <w:numPr>
          <w:ilvl w:val="0"/>
          <w:numId w:val="1"/>
        </w:numPr>
        <w:ind w:left="378"/>
      </w:pPr>
      <w:r>
        <w:t>Ongoing benchmarking of students</w:t>
      </w:r>
      <w:r w:rsidR="00F244A4">
        <w:t>;</w:t>
      </w:r>
      <w:r>
        <w:t xml:space="preserve"> </w:t>
      </w:r>
    </w:p>
    <w:p w:rsidR="00487A68" w:rsidRDefault="00487A68" w:rsidP="00487A68">
      <w:pPr>
        <w:pStyle w:val="ASRListBullet1"/>
        <w:numPr>
          <w:ilvl w:val="0"/>
          <w:numId w:val="1"/>
        </w:numPr>
        <w:ind w:left="378"/>
      </w:pPr>
      <w:r>
        <w:t>Implementation of Best Start in Years 1 and 2</w:t>
      </w:r>
      <w:r w:rsidR="00F244A4">
        <w:t>;</w:t>
      </w:r>
      <w:r>
        <w:t xml:space="preserve"> </w:t>
      </w:r>
    </w:p>
    <w:p w:rsidR="00F244A4" w:rsidRDefault="00F843B3" w:rsidP="00C67A6B">
      <w:pPr>
        <w:pStyle w:val="ASRListBullet1"/>
        <w:numPr>
          <w:ilvl w:val="0"/>
          <w:numId w:val="1"/>
        </w:numPr>
        <w:ind w:left="378"/>
      </w:pPr>
      <w:r>
        <w:t>Pur</w:t>
      </w:r>
      <w:r w:rsidR="00F244A4">
        <w:t>chase additional resources for Guided R</w:t>
      </w:r>
      <w:r>
        <w:t>eading and Numeracy</w:t>
      </w:r>
      <w:r w:rsidR="00F244A4">
        <w:t>.</w:t>
      </w:r>
      <w:bookmarkStart w:id="64" w:name="_Toc306703617"/>
    </w:p>
    <w:p w:rsidR="009974E3" w:rsidRPr="000A11D6" w:rsidRDefault="009974E3" w:rsidP="00FD59D8">
      <w:pPr>
        <w:pStyle w:val="ASRHeading1"/>
        <w:outlineLvl w:val="0"/>
      </w:pPr>
      <w:r w:rsidRPr="000A11D6">
        <w:t>About this report</w:t>
      </w:r>
      <w:bookmarkEnd w:id="55"/>
      <w:bookmarkEnd w:id="56"/>
      <w:bookmarkEnd w:id="57"/>
      <w:bookmarkEnd w:id="58"/>
      <w:bookmarkEnd w:id="59"/>
      <w:bookmarkEnd w:id="60"/>
      <w:bookmarkEnd w:id="64"/>
    </w:p>
    <w:p w:rsidR="009974E3" w:rsidRPr="000A11D6" w:rsidRDefault="009974E3" w:rsidP="00FB3071">
      <w:pPr>
        <w:pStyle w:val="ASRBodyText"/>
      </w:pPr>
      <w:r w:rsidRPr="000A11D6">
        <w:t xml:space="preserve">In preparing this report, the self-evaluation committee has gathered information from evaluations conducted during the year and </w:t>
      </w:r>
      <w:proofErr w:type="spellStart"/>
      <w:r w:rsidRPr="000A11D6">
        <w:t>analysed</w:t>
      </w:r>
      <w:proofErr w:type="spellEnd"/>
      <w:r w:rsidRPr="000A11D6">
        <w:t xml:space="preserve"> other information about the school's practices and student learning outcomes. The self-evaluation committee and </w:t>
      </w:r>
      <w:r w:rsidRPr="00FB3071">
        <w:t>school</w:t>
      </w:r>
      <w:r w:rsidRPr="000A11D6">
        <w:t xml:space="preserve"> planning committee have determined targets for the school's future development.</w:t>
      </w:r>
    </w:p>
    <w:p w:rsidR="009974E3" w:rsidRPr="000A11D6" w:rsidRDefault="001D3075" w:rsidP="000C46CC">
      <w:pPr>
        <w:pStyle w:val="ASRBodyText"/>
      </w:pPr>
      <w:bookmarkStart w:id="65" w:name="_Toc210703325"/>
      <w:bookmarkStart w:id="66" w:name="_Toc210703406"/>
      <w:bookmarkStart w:id="67" w:name="_Toc210703672"/>
      <w:proofErr w:type="gramStart"/>
      <w:r>
        <w:t>Graeme McLeod Principal.</w:t>
      </w:r>
      <w:proofErr w:type="gramEnd"/>
    </w:p>
    <w:p w:rsidR="009974E3" w:rsidRPr="000A11D6" w:rsidRDefault="00FC2A90" w:rsidP="000C46CC">
      <w:pPr>
        <w:pStyle w:val="ASRBodyText"/>
      </w:pPr>
      <w:r>
        <w:t>Donna Ryan</w:t>
      </w:r>
      <w:r w:rsidR="00F244A4">
        <w:t xml:space="preserve"> P &amp;</w:t>
      </w:r>
      <w:r w:rsidR="001D3075">
        <w:t xml:space="preserve"> C Rep</w:t>
      </w:r>
    </w:p>
    <w:p w:rsidR="009974E3" w:rsidRDefault="001D3075" w:rsidP="000C46CC">
      <w:pPr>
        <w:pStyle w:val="ASRBodyText"/>
      </w:pPr>
      <w:r>
        <w:t>Mark Emery Teacher Rep</w:t>
      </w:r>
    </w:p>
    <w:p w:rsidR="00245CB4" w:rsidRDefault="00FC2A90" w:rsidP="00E95952">
      <w:pPr>
        <w:pStyle w:val="ASRBodyText"/>
      </w:pPr>
      <w:r>
        <w:t>Joanne Hextall Teacher Rep</w:t>
      </w:r>
      <w:bookmarkStart w:id="68" w:name="_Toc306703618"/>
    </w:p>
    <w:p w:rsidR="009974E3" w:rsidRPr="00E95952" w:rsidRDefault="009974E3" w:rsidP="00FD59D8">
      <w:pPr>
        <w:pStyle w:val="ASRHeading3"/>
        <w:outlineLvl w:val="2"/>
        <w:rPr>
          <w:sz w:val="22"/>
          <w:szCs w:val="22"/>
        </w:rPr>
      </w:pPr>
      <w:r w:rsidRPr="00E95952">
        <w:rPr>
          <w:sz w:val="22"/>
          <w:szCs w:val="22"/>
        </w:rPr>
        <w:t>School contact information</w:t>
      </w:r>
      <w:bookmarkEnd w:id="65"/>
      <w:bookmarkEnd w:id="66"/>
      <w:bookmarkEnd w:id="67"/>
      <w:bookmarkEnd w:id="68"/>
    </w:p>
    <w:p w:rsidR="009974E3" w:rsidRPr="000A11D6" w:rsidRDefault="001D3075" w:rsidP="00F17EE8">
      <w:pPr>
        <w:pStyle w:val="ASRBodyText"/>
      </w:pPr>
      <w:proofErr w:type="spellStart"/>
      <w:r>
        <w:t>Gosford</w:t>
      </w:r>
      <w:proofErr w:type="spellEnd"/>
      <w:r>
        <w:t xml:space="preserve"> East Public School</w:t>
      </w:r>
    </w:p>
    <w:p w:rsidR="009974E3" w:rsidRPr="000A11D6" w:rsidRDefault="001D3075" w:rsidP="00F17EE8">
      <w:pPr>
        <w:pStyle w:val="ASRBodyText"/>
      </w:pPr>
      <w:proofErr w:type="spellStart"/>
      <w:r>
        <w:t>Cnr</w:t>
      </w:r>
      <w:proofErr w:type="spellEnd"/>
      <w:r>
        <w:t xml:space="preserve">. York and Webb Sts, East </w:t>
      </w:r>
      <w:proofErr w:type="spellStart"/>
      <w:r>
        <w:t>Gosford</w:t>
      </w:r>
      <w:proofErr w:type="spellEnd"/>
    </w:p>
    <w:p w:rsidR="009974E3" w:rsidRPr="000A11D6" w:rsidRDefault="009974E3" w:rsidP="00F17EE8">
      <w:pPr>
        <w:pStyle w:val="ASRBodyText"/>
      </w:pPr>
      <w:r w:rsidRPr="000A11D6">
        <w:t xml:space="preserve">Ph: </w:t>
      </w:r>
      <w:r w:rsidR="001D3075">
        <w:t>43252178</w:t>
      </w:r>
    </w:p>
    <w:p w:rsidR="009974E3" w:rsidRPr="000A11D6" w:rsidRDefault="009974E3" w:rsidP="00F17EE8">
      <w:pPr>
        <w:pStyle w:val="ASRBodyText"/>
      </w:pPr>
      <w:r w:rsidRPr="000A11D6">
        <w:t>Fax:</w:t>
      </w:r>
      <w:r w:rsidR="001D3075">
        <w:t xml:space="preserve"> 43236930</w:t>
      </w:r>
    </w:p>
    <w:p w:rsidR="009974E3" w:rsidRPr="000A11D6" w:rsidRDefault="009974E3" w:rsidP="00F17EE8">
      <w:pPr>
        <w:pStyle w:val="ASRBodyText"/>
      </w:pPr>
      <w:r w:rsidRPr="000A11D6">
        <w:t xml:space="preserve">Email: </w:t>
      </w:r>
      <w:r w:rsidR="00F244A4">
        <w:t>gosfordest-p.school@det.nsw.edu.au</w:t>
      </w:r>
    </w:p>
    <w:p w:rsidR="009974E3" w:rsidRPr="000A11D6" w:rsidRDefault="009974E3" w:rsidP="00F17EE8">
      <w:pPr>
        <w:pStyle w:val="ASRBodyText"/>
      </w:pPr>
      <w:r w:rsidRPr="000A11D6">
        <w:t xml:space="preserve">Web: </w:t>
      </w:r>
      <w:r w:rsidR="00F244A4">
        <w:t>www.gosfordest-p.schools.nsw.edu.au</w:t>
      </w:r>
    </w:p>
    <w:p w:rsidR="009974E3" w:rsidRPr="000A11D6" w:rsidRDefault="009974E3" w:rsidP="00F17EE8">
      <w:pPr>
        <w:pStyle w:val="ASRBodyText"/>
      </w:pPr>
      <w:r w:rsidRPr="000A11D6">
        <w:t xml:space="preserve">School Code: </w:t>
      </w:r>
      <w:r w:rsidR="001D3075">
        <w:t>4218</w:t>
      </w:r>
    </w:p>
    <w:p w:rsidR="009974E3" w:rsidRPr="00F17EE8" w:rsidRDefault="009974E3" w:rsidP="00F17EE8">
      <w:pPr>
        <w:pStyle w:val="ASRBodyText"/>
      </w:pPr>
      <w:r w:rsidRPr="00F17EE8">
        <w:t>Parents can find out more information about Annual School Reports, how to interpret information in the reports and have the opportunity to provide feedback about these reports at:</w:t>
      </w:r>
    </w:p>
    <w:p w:rsidR="001B7426" w:rsidRPr="00FB3071" w:rsidRDefault="00204C27" w:rsidP="00C67A6B">
      <w:pPr>
        <w:pStyle w:val="ASRBodyText"/>
      </w:pPr>
      <w:hyperlink r:id="rId41" w:history="1">
        <w:r w:rsidR="009974E3" w:rsidRPr="00FB3071">
          <w:t>http://www.schools.nsw.edu.au/asr</w:t>
        </w:r>
      </w:hyperlink>
    </w:p>
    <w:sectPr w:rsidR="001B7426" w:rsidRPr="00FB3071" w:rsidSect="007B1046">
      <w:footerReference w:type="even" r:id="rId42"/>
      <w:footerReference w:type="default" r:id="rId43"/>
      <w:pgSz w:w="11906" w:h="16838" w:code="9"/>
      <w:pgMar w:top="1134" w:right="991" w:bottom="567" w:left="1134" w:header="567" w:footer="567" w:gutter="0"/>
      <w:pgNumType w:start="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5E" w:rsidRDefault="0068035E">
      <w:pPr>
        <w:spacing w:after="0" w:line="240" w:lineRule="auto"/>
      </w:pPr>
      <w:r>
        <w:separator/>
      </w:r>
    </w:p>
  </w:endnote>
  <w:endnote w:type="continuationSeparator" w:id="0">
    <w:p w:rsidR="0068035E" w:rsidRDefault="00680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Neue Light">
    <w:altName w:val="Corbel"/>
    <w:charset w:val="00"/>
    <w:family w:val="auto"/>
    <w:pitch w:val="variable"/>
    <w:sig w:usb0="00000003" w:usb1="00000000" w:usb2="00000000" w:usb3="00000000" w:csb0="00000001" w:csb1="00000000"/>
  </w:font>
  <w:font w:name="Helvetica Neue UltraLight">
    <w:altName w:val="Tekton Pro Cond"/>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6B" w:rsidRDefault="00C67A6B" w:rsidP="00104F68">
    <w:pPr>
      <w:pStyle w:val="Footer"/>
      <w:jc w:val="center"/>
      <w:rPr>
        <w:color w:val="C00000"/>
      </w:rPr>
    </w:pPr>
  </w:p>
  <w:p w:rsidR="00C67A6B" w:rsidRPr="00B02E93" w:rsidRDefault="00204C27" w:rsidP="00104F68">
    <w:pPr>
      <w:pStyle w:val="Footer"/>
      <w:jc w:val="center"/>
      <w:rPr>
        <w:color w:val="C00000"/>
      </w:rPr>
    </w:pPr>
    <w:r>
      <w:rPr>
        <w:noProof/>
        <w:color w:val="C00000"/>
        <w:lang w:val="en-AU" w:eastAsia="en-AU" w:bidi="ar-SA"/>
      </w:rPr>
      <w:pict>
        <v:shapetype id="_x0000_t32" coordsize="21600,21600" o:spt="32" o:oned="t" path="m,l21600,21600e" filled="f">
          <v:path arrowok="t" fillok="f" o:connecttype="none"/>
          <o:lock v:ext="edit" shapetype="t"/>
        </v:shapetype>
        <v:shape id="Straight Arrow Connector 9" o:spid="_x0000_s2050" type="#_x0000_t32" style="position:absolute;left:0;text-align:left;margin-left:-.6pt;margin-top:9.05pt;width:485.05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" strokecolor="#d99594 [1941]">
          <v:shadow color="#974706 [1609]" opacity=".5" offset="1pt"/>
        </v:shape>
      </w:pict>
    </w:r>
  </w:p>
  <w:p w:rsidR="00C67A6B" w:rsidRPr="00B02E93" w:rsidRDefault="00204C27" w:rsidP="00104F68">
    <w:pPr>
      <w:pStyle w:val="Footer"/>
      <w:jc w:val="center"/>
      <w:rPr>
        <w:color w:val="C00000"/>
      </w:rPr>
    </w:pPr>
    <w:sdt>
      <w:sdtPr>
        <w:rPr>
          <w:color w:val="C00000"/>
        </w:rPr>
        <w:id w:val="12164935"/>
        <w:docPartObj>
          <w:docPartGallery w:val="Page Numbers (Bottom of Page)"/>
          <w:docPartUnique/>
        </w:docPartObj>
      </w:sdtPr>
      <w:sdtEndPr>
        <w:rPr>
          <w:color w:val="D99594" w:themeColor="accent2" w:themeTint="99"/>
        </w:rPr>
      </w:sdtEndPr>
      <w:sdtContent>
        <w:r w:rsidRPr="00B02E93">
          <w:rPr>
            <w:color w:val="D99594" w:themeColor="accent2" w:themeTint="99"/>
          </w:rPr>
          <w:fldChar w:fldCharType="begin"/>
        </w:r>
        <w:r w:rsidR="00C67A6B" w:rsidRPr="00B02E93">
          <w:rPr>
            <w:color w:val="D99594" w:themeColor="accent2" w:themeTint="99"/>
          </w:rPr>
          <w:instrText xml:space="preserve"> PAGE   \* MERGEFORMAT </w:instrText>
        </w:r>
        <w:r w:rsidRPr="00B02E93">
          <w:rPr>
            <w:color w:val="D99594" w:themeColor="accent2" w:themeTint="99"/>
          </w:rPr>
          <w:fldChar w:fldCharType="separate"/>
        </w:r>
        <w:r w:rsidR="00C67A6B">
          <w:rPr>
            <w:noProof/>
            <w:color w:val="D99594" w:themeColor="accent2" w:themeTint="99"/>
          </w:rPr>
          <w:t>2</w:t>
        </w:r>
        <w:r w:rsidRPr="00B02E93">
          <w:rPr>
            <w:color w:val="D99594" w:themeColor="accent2" w:themeTint="99"/>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6B" w:rsidRDefault="00C67A6B" w:rsidP="00104F68">
    <w:pPr>
      <w:pStyle w:val="Footer"/>
      <w:jc w:val="center"/>
      <w:rPr>
        <w:color w:val="C00000"/>
      </w:rPr>
    </w:pPr>
  </w:p>
  <w:p w:rsidR="00C67A6B" w:rsidRPr="00B02E93" w:rsidRDefault="00204C27" w:rsidP="00104F68">
    <w:pPr>
      <w:pStyle w:val="Footer"/>
      <w:jc w:val="center"/>
      <w:rPr>
        <w:color w:val="C00000"/>
      </w:rPr>
    </w:pPr>
    <w:r>
      <w:rPr>
        <w:noProof/>
        <w:color w:val="C00000"/>
        <w:lang w:val="en-AU" w:eastAsia="en-AU" w:bidi="ar-SA"/>
      </w:rPr>
      <w:pict>
        <v:shapetype id="_x0000_t32" coordsize="21600,21600" o:spt="32" o:oned="t" path="m,l21600,21600e" filled="f">
          <v:path arrowok="t" fillok="f" o:connecttype="none"/>
          <o:lock v:ext="edit" shapetype="t"/>
        </v:shapetype>
        <v:shape id="Straight Arrow Connector 8" o:spid="_x0000_s2049" type="#_x0000_t32" style="position:absolute;left:0;text-align:left;margin-left:-.6pt;margin-top:9.05pt;width:485.0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" strokecolor="#d99594 [1941]">
          <v:shadow color="#974706 [1609]" opacity=".5" offset="1pt"/>
        </v:shape>
      </w:pict>
    </w:r>
  </w:p>
  <w:p w:rsidR="00C67A6B" w:rsidRPr="00B02E93" w:rsidRDefault="00C67A6B" w:rsidP="00104F68">
    <w:pPr>
      <w:pStyle w:val="Footer"/>
      <w:jc w:val="center"/>
      <w:rPr>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5E" w:rsidRDefault="0068035E">
      <w:pPr>
        <w:spacing w:after="0" w:line="240" w:lineRule="auto"/>
      </w:pPr>
      <w:r>
        <w:separator/>
      </w:r>
    </w:p>
  </w:footnote>
  <w:footnote w:type="continuationSeparator" w:id="0">
    <w:p w:rsidR="0068035E" w:rsidRDefault="00680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75pt;height:105pt;visibility:visible;mso-wrap-style:square" o:bullet="t">
        <v:imagedata r:id="rId1" o:title=""/>
      </v:shape>
    </w:pict>
  </w:numPicBullet>
  <w:abstractNum w:abstractNumId="0">
    <w:nsid w:val="FFFFFF7C"/>
    <w:multiLevelType w:val="singleLevel"/>
    <w:tmpl w:val="4B2C37C8"/>
    <w:lvl w:ilvl="0">
      <w:start w:val="1"/>
      <w:numFmt w:val="decimal"/>
      <w:lvlText w:val="%1."/>
      <w:lvlJc w:val="left"/>
      <w:pPr>
        <w:tabs>
          <w:tab w:val="num" w:pos="1492"/>
        </w:tabs>
        <w:ind w:left="1492" w:hanging="360"/>
      </w:pPr>
    </w:lvl>
  </w:abstractNum>
  <w:abstractNum w:abstractNumId="1">
    <w:nsid w:val="FFFFFF7D"/>
    <w:multiLevelType w:val="singleLevel"/>
    <w:tmpl w:val="FF680572"/>
    <w:lvl w:ilvl="0">
      <w:start w:val="1"/>
      <w:numFmt w:val="decimal"/>
      <w:lvlText w:val="%1."/>
      <w:lvlJc w:val="left"/>
      <w:pPr>
        <w:tabs>
          <w:tab w:val="num" w:pos="1209"/>
        </w:tabs>
        <w:ind w:left="1209" w:hanging="360"/>
      </w:pPr>
    </w:lvl>
  </w:abstractNum>
  <w:abstractNum w:abstractNumId="2">
    <w:nsid w:val="FFFFFF7E"/>
    <w:multiLevelType w:val="singleLevel"/>
    <w:tmpl w:val="A24229C0"/>
    <w:lvl w:ilvl="0">
      <w:start w:val="1"/>
      <w:numFmt w:val="decimal"/>
      <w:lvlText w:val="%1."/>
      <w:lvlJc w:val="left"/>
      <w:pPr>
        <w:tabs>
          <w:tab w:val="num" w:pos="926"/>
        </w:tabs>
        <w:ind w:left="926" w:hanging="360"/>
      </w:pPr>
    </w:lvl>
  </w:abstractNum>
  <w:abstractNum w:abstractNumId="3">
    <w:nsid w:val="FFFFFF7F"/>
    <w:multiLevelType w:val="singleLevel"/>
    <w:tmpl w:val="8E2A828E"/>
    <w:lvl w:ilvl="0">
      <w:start w:val="1"/>
      <w:numFmt w:val="decimal"/>
      <w:lvlText w:val="%1."/>
      <w:lvlJc w:val="left"/>
      <w:pPr>
        <w:tabs>
          <w:tab w:val="num" w:pos="643"/>
        </w:tabs>
        <w:ind w:left="643" w:hanging="360"/>
      </w:pPr>
    </w:lvl>
  </w:abstractNum>
  <w:abstractNum w:abstractNumId="4">
    <w:nsid w:val="FFFFFF80"/>
    <w:multiLevelType w:val="singleLevel"/>
    <w:tmpl w:val="B79C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065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88A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A44E98"/>
    <w:lvl w:ilvl="0">
      <w:start w:val="1"/>
      <w:numFmt w:val="decimal"/>
      <w:lvlText w:val="%1."/>
      <w:lvlJc w:val="left"/>
      <w:pPr>
        <w:tabs>
          <w:tab w:val="num" w:pos="360"/>
        </w:tabs>
        <w:ind w:left="360" w:hanging="360"/>
      </w:pPr>
    </w:lvl>
  </w:abstractNum>
  <w:abstractNum w:abstractNumId="9">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A04751"/>
    <w:multiLevelType w:val="multilevel"/>
    <w:tmpl w:val="7132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4CD0"/>
    <w:multiLevelType w:val="hybridMultilevel"/>
    <w:tmpl w:val="3D00A738"/>
    <w:lvl w:ilvl="0" w:tplc="6068FFDA">
      <w:start w:val="1"/>
      <w:numFmt w:val="bullet"/>
      <w:lvlText w:val=""/>
      <w:lvlJc w:val="left"/>
      <w:pPr>
        <w:tabs>
          <w:tab w:val="num" w:pos="360"/>
        </w:tabs>
        <w:ind w:left="360" w:hanging="360"/>
      </w:pPr>
      <w:rPr>
        <w:rFonts w:ascii="Symbol" w:hAnsi="Symbol" w:hint="default"/>
        <w:b w:val="0"/>
        <w:color w:val="auto"/>
      </w:rPr>
    </w:lvl>
    <w:lvl w:ilvl="1" w:tplc="0C090003" w:tentative="1">
      <w:start w:val="1"/>
      <w:numFmt w:val="bullet"/>
      <w:lvlText w:val="o"/>
      <w:lvlJc w:val="left"/>
      <w:pPr>
        <w:tabs>
          <w:tab w:val="num" w:pos="1327"/>
        </w:tabs>
        <w:ind w:left="1327" w:hanging="360"/>
      </w:pPr>
      <w:rPr>
        <w:rFonts w:ascii="Courier New" w:hAnsi="Courier New" w:cs="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cs="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cs="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12">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1E071C6E"/>
    <w:multiLevelType w:val="hybridMultilevel"/>
    <w:tmpl w:val="36582D38"/>
    <w:lvl w:ilvl="0" w:tplc="485C8834">
      <w:start w:val="1"/>
      <w:numFmt w:val="bullet"/>
      <w:lvlText w:val=""/>
      <w:lvlJc w:val="left"/>
      <w:pPr>
        <w:tabs>
          <w:tab w:val="num" w:pos="294"/>
        </w:tabs>
        <w:ind w:left="294" w:hanging="360"/>
      </w:pPr>
      <w:rPr>
        <w:rFonts w:ascii="Symbol" w:hAnsi="Symbol" w:hint="default"/>
      </w:rPr>
    </w:lvl>
    <w:lvl w:ilvl="1" w:tplc="00030409" w:tentative="1">
      <w:start w:val="1"/>
      <w:numFmt w:val="bullet"/>
      <w:lvlText w:val="o"/>
      <w:lvlJc w:val="left"/>
      <w:pPr>
        <w:tabs>
          <w:tab w:val="num" w:pos="1014"/>
        </w:tabs>
        <w:ind w:left="1014" w:hanging="360"/>
      </w:pPr>
      <w:rPr>
        <w:rFonts w:ascii="Courier" w:hAnsi="Courier" w:hint="default"/>
      </w:rPr>
    </w:lvl>
    <w:lvl w:ilvl="2" w:tplc="00050409" w:tentative="1">
      <w:start w:val="1"/>
      <w:numFmt w:val="bullet"/>
      <w:lvlText w:val=""/>
      <w:lvlJc w:val="left"/>
      <w:pPr>
        <w:tabs>
          <w:tab w:val="num" w:pos="1734"/>
        </w:tabs>
        <w:ind w:left="1734" w:hanging="360"/>
      </w:pPr>
      <w:rPr>
        <w:rFonts w:ascii="Symbol" w:hAnsi="Symbol" w:hint="default"/>
      </w:rPr>
    </w:lvl>
    <w:lvl w:ilvl="3" w:tplc="00010409" w:tentative="1">
      <w:start w:val="1"/>
      <w:numFmt w:val="bullet"/>
      <w:lvlText w:val=""/>
      <w:lvlJc w:val="left"/>
      <w:pPr>
        <w:tabs>
          <w:tab w:val="num" w:pos="2454"/>
        </w:tabs>
        <w:ind w:left="2454" w:hanging="360"/>
      </w:pPr>
      <w:rPr>
        <w:rFonts w:ascii="Symbol" w:hAnsi="Symbol" w:hint="default"/>
      </w:rPr>
    </w:lvl>
    <w:lvl w:ilvl="4" w:tplc="00030409" w:tentative="1">
      <w:start w:val="1"/>
      <w:numFmt w:val="bullet"/>
      <w:lvlText w:val="o"/>
      <w:lvlJc w:val="left"/>
      <w:pPr>
        <w:tabs>
          <w:tab w:val="num" w:pos="3174"/>
        </w:tabs>
        <w:ind w:left="3174" w:hanging="360"/>
      </w:pPr>
      <w:rPr>
        <w:rFonts w:ascii="Courier" w:hAnsi="Courier" w:hint="default"/>
      </w:rPr>
    </w:lvl>
    <w:lvl w:ilvl="5" w:tplc="00050409" w:tentative="1">
      <w:start w:val="1"/>
      <w:numFmt w:val="bullet"/>
      <w:lvlText w:val=""/>
      <w:lvlJc w:val="left"/>
      <w:pPr>
        <w:tabs>
          <w:tab w:val="num" w:pos="3894"/>
        </w:tabs>
        <w:ind w:left="3894" w:hanging="360"/>
      </w:pPr>
      <w:rPr>
        <w:rFonts w:ascii="Symbol" w:hAnsi="Symbol" w:hint="default"/>
      </w:rPr>
    </w:lvl>
    <w:lvl w:ilvl="6" w:tplc="00010409" w:tentative="1">
      <w:start w:val="1"/>
      <w:numFmt w:val="bullet"/>
      <w:lvlText w:val=""/>
      <w:lvlJc w:val="left"/>
      <w:pPr>
        <w:tabs>
          <w:tab w:val="num" w:pos="4614"/>
        </w:tabs>
        <w:ind w:left="4614" w:hanging="360"/>
      </w:pPr>
      <w:rPr>
        <w:rFonts w:ascii="Symbol" w:hAnsi="Symbol" w:hint="default"/>
      </w:rPr>
    </w:lvl>
    <w:lvl w:ilvl="7" w:tplc="00030409" w:tentative="1">
      <w:start w:val="1"/>
      <w:numFmt w:val="bullet"/>
      <w:lvlText w:val="o"/>
      <w:lvlJc w:val="left"/>
      <w:pPr>
        <w:tabs>
          <w:tab w:val="num" w:pos="5334"/>
        </w:tabs>
        <w:ind w:left="5334" w:hanging="360"/>
      </w:pPr>
      <w:rPr>
        <w:rFonts w:ascii="Courier" w:hAnsi="Courier" w:hint="default"/>
      </w:rPr>
    </w:lvl>
    <w:lvl w:ilvl="8" w:tplc="00050409" w:tentative="1">
      <w:start w:val="1"/>
      <w:numFmt w:val="bullet"/>
      <w:lvlText w:val=""/>
      <w:lvlJc w:val="left"/>
      <w:pPr>
        <w:tabs>
          <w:tab w:val="num" w:pos="6054"/>
        </w:tabs>
        <w:ind w:left="6054" w:hanging="360"/>
      </w:pPr>
      <w:rPr>
        <w:rFonts w:ascii="Symbol" w:hAnsi="Symbol" w:hint="default"/>
      </w:rPr>
    </w:lvl>
  </w:abstractNum>
  <w:abstractNum w:abstractNumId="14">
    <w:nsid w:val="2523596F"/>
    <w:multiLevelType w:val="hybridMultilevel"/>
    <w:tmpl w:val="61AA543A"/>
    <w:lvl w:ilvl="0" w:tplc="8BD4BC0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C305E8"/>
    <w:multiLevelType w:val="hybridMultilevel"/>
    <w:tmpl w:val="0B5C38DC"/>
    <w:lvl w:ilvl="0" w:tplc="DF58D05C">
      <w:start w:val="1"/>
      <w:numFmt w:val="bullet"/>
      <w:pStyle w:val="ASR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2D4509"/>
    <w:multiLevelType w:val="hybridMultilevel"/>
    <w:tmpl w:val="4C3297F0"/>
    <w:lvl w:ilvl="0" w:tplc="563C9E44">
      <w:start w:val="1"/>
      <w:numFmt w:val="bullet"/>
      <w:pStyle w:val="ASRListBullet3"/>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F2D272C"/>
    <w:multiLevelType w:val="multilevel"/>
    <w:tmpl w:val="F0627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2410A"/>
    <w:multiLevelType w:val="hybridMultilevel"/>
    <w:tmpl w:val="B2A634F0"/>
    <w:lvl w:ilvl="0" w:tplc="6068FFDA">
      <w:start w:val="1"/>
      <w:numFmt w:val="bullet"/>
      <w:lvlText w:val=""/>
      <w:lvlJc w:val="left"/>
      <w:pPr>
        <w:tabs>
          <w:tab w:val="num" w:pos="360"/>
        </w:tabs>
        <w:ind w:left="360" w:hanging="360"/>
      </w:pPr>
      <w:rPr>
        <w:rFonts w:ascii="Symbol" w:hAnsi="Symbol" w:hint="default"/>
        <w:b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825732"/>
    <w:multiLevelType w:val="hybridMultilevel"/>
    <w:tmpl w:val="B05E8A7E"/>
    <w:lvl w:ilvl="0" w:tplc="FF7A9ED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DF7DDB"/>
    <w:multiLevelType w:val="multilevel"/>
    <w:tmpl w:val="2D546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93C65"/>
    <w:multiLevelType w:val="hybridMultilevel"/>
    <w:tmpl w:val="B2946B20"/>
    <w:lvl w:ilvl="0" w:tplc="ABCA12E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20"/>
  </w:num>
  <w:num w:numId="15">
    <w:abstractNumId w:val="22"/>
  </w:num>
  <w:num w:numId="16">
    <w:abstractNumId w:val="16"/>
  </w:num>
  <w:num w:numId="17">
    <w:abstractNumId w:val="13"/>
  </w:num>
  <w:num w:numId="18">
    <w:abstractNumId w:val="11"/>
  </w:num>
  <w:num w:numId="19">
    <w:abstractNumId w:val="18"/>
  </w:num>
  <w:num w:numId="20">
    <w:abstractNumId w:val="12"/>
  </w:num>
  <w:num w:numId="21">
    <w:abstractNumId w:val="10"/>
  </w:num>
  <w:num w:numId="22">
    <w:abstractNumId w:val="19"/>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D01"/>
  <w:defaultTabStop w:val="720"/>
  <w:characterSpacingControl w:val="doNotCompress"/>
  <w:hdrShapeDefaults>
    <o:shapedefaults v:ext="edit" spidmax="6146"/>
    <o:shapelayout v:ext="edit">
      <o:idmap v:ext="edit" data="2"/>
      <o:rules v:ext="edit">
        <o:r id="V:Rule3" type="connector" idref="#Straight Arrow Connector 9"/>
        <o:r id="V:Rule4" type="connector" idref="#Straight Arrow Connector 8"/>
      </o:rules>
    </o:shapelayout>
  </w:hdrShapeDefaults>
  <w:footnotePr>
    <w:footnote w:id="-1"/>
    <w:footnote w:id="0"/>
  </w:footnotePr>
  <w:endnotePr>
    <w:endnote w:id="-1"/>
    <w:endnote w:id="0"/>
  </w:endnotePr>
  <w:compat/>
  <w:rsids>
    <w:rsidRoot w:val="009974E3"/>
    <w:rsid w:val="00006E7C"/>
    <w:rsid w:val="00020319"/>
    <w:rsid w:val="00024725"/>
    <w:rsid w:val="0003426B"/>
    <w:rsid w:val="00041136"/>
    <w:rsid w:val="0005110A"/>
    <w:rsid w:val="0008554B"/>
    <w:rsid w:val="000902BD"/>
    <w:rsid w:val="00091674"/>
    <w:rsid w:val="00097C8F"/>
    <w:rsid w:val="000C46CC"/>
    <w:rsid w:val="000C594C"/>
    <w:rsid w:val="000C7B60"/>
    <w:rsid w:val="000D117F"/>
    <w:rsid w:val="000F15E9"/>
    <w:rsid w:val="000F18CF"/>
    <w:rsid w:val="000F6806"/>
    <w:rsid w:val="00104F68"/>
    <w:rsid w:val="0012336E"/>
    <w:rsid w:val="001315B9"/>
    <w:rsid w:val="0013674F"/>
    <w:rsid w:val="001461D7"/>
    <w:rsid w:val="0014640E"/>
    <w:rsid w:val="00170C9E"/>
    <w:rsid w:val="00187161"/>
    <w:rsid w:val="0019392E"/>
    <w:rsid w:val="001968C4"/>
    <w:rsid w:val="001B6CC9"/>
    <w:rsid w:val="001B7426"/>
    <w:rsid w:val="001C7F0A"/>
    <w:rsid w:val="001D3075"/>
    <w:rsid w:val="001E153A"/>
    <w:rsid w:val="001E6CB9"/>
    <w:rsid w:val="001F13DB"/>
    <w:rsid w:val="00204C27"/>
    <w:rsid w:val="002113BF"/>
    <w:rsid w:val="0024104F"/>
    <w:rsid w:val="002456FF"/>
    <w:rsid w:val="00245CB4"/>
    <w:rsid w:val="002557CB"/>
    <w:rsid w:val="002611FB"/>
    <w:rsid w:val="002812F3"/>
    <w:rsid w:val="00284B6B"/>
    <w:rsid w:val="0028578D"/>
    <w:rsid w:val="00287296"/>
    <w:rsid w:val="002926ED"/>
    <w:rsid w:val="002A2C16"/>
    <w:rsid w:val="002F34F6"/>
    <w:rsid w:val="002F6226"/>
    <w:rsid w:val="003004C0"/>
    <w:rsid w:val="00301705"/>
    <w:rsid w:val="00302B09"/>
    <w:rsid w:val="0030445C"/>
    <w:rsid w:val="00333AAE"/>
    <w:rsid w:val="00340D4F"/>
    <w:rsid w:val="003523A2"/>
    <w:rsid w:val="00355D43"/>
    <w:rsid w:val="003579D3"/>
    <w:rsid w:val="00382E8C"/>
    <w:rsid w:val="0038737D"/>
    <w:rsid w:val="003C63FA"/>
    <w:rsid w:val="003C7204"/>
    <w:rsid w:val="003D0A82"/>
    <w:rsid w:val="00414C07"/>
    <w:rsid w:val="00415BD7"/>
    <w:rsid w:val="0042097A"/>
    <w:rsid w:val="004351B0"/>
    <w:rsid w:val="0044582A"/>
    <w:rsid w:val="00450E05"/>
    <w:rsid w:val="00460CB7"/>
    <w:rsid w:val="00464181"/>
    <w:rsid w:val="00472DD4"/>
    <w:rsid w:val="00481E98"/>
    <w:rsid w:val="00487A68"/>
    <w:rsid w:val="004A03BF"/>
    <w:rsid w:val="004B0C49"/>
    <w:rsid w:val="004C3E75"/>
    <w:rsid w:val="004C727C"/>
    <w:rsid w:val="004D4834"/>
    <w:rsid w:val="004D7B65"/>
    <w:rsid w:val="004E2A75"/>
    <w:rsid w:val="004F1AA9"/>
    <w:rsid w:val="004F2FF0"/>
    <w:rsid w:val="00500C61"/>
    <w:rsid w:val="005169E5"/>
    <w:rsid w:val="005201E8"/>
    <w:rsid w:val="005616FC"/>
    <w:rsid w:val="00570CB0"/>
    <w:rsid w:val="00584939"/>
    <w:rsid w:val="00585216"/>
    <w:rsid w:val="0058625F"/>
    <w:rsid w:val="005967A4"/>
    <w:rsid w:val="00596BEA"/>
    <w:rsid w:val="005B127C"/>
    <w:rsid w:val="005C0E51"/>
    <w:rsid w:val="005D00B6"/>
    <w:rsid w:val="005E7D2E"/>
    <w:rsid w:val="005F4E6B"/>
    <w:rsid w:val="0062535A"/>
    <w:rsid w:val="00640740"/>
    <w:rsid w:val="00644022"/>
    <w:rsid w:val="00664742"/>
    <w:rsid w:val="00674024"/>
    <w:rsid w:val="00676BDA"/>
    <w:rsid w:val="0068035E"/>
    <w:rsid w:val="006B29BB"/>
    <w:rsid w:val="006E39F6"/>
    <w:rsid w:val="006E5ACE"/>
    <w:rsid w:val="00703664"/>
    <w:rsid w:val="007215F8"/>
    <w:rsid w:val="007226F1"/>
    <w:rsid w:val="007518AE"/>
    <w:rsid w:val="00770BD2"/>
    <w:rsid w:val="0077585C"/>
    <w:rsid w:val="007B0F0C"/>
    <w:rsid w:val="007B1046"/>
    <w:rsid w:val="007C47E2"/>
    <w:rsid w:val="007C7CDA"/>
    <w:rsid w:val="007D062E"/>
    <w:rsid w:val="007D4377"/>
    <w:rsid w:val="007E3F17"/>
    <w:rsid w:val="007F5F4B"/>
    <w:rsid w:val="0080698A"/>
    <w:rsid w:val="008142E8"/>
    <w:rsid w:val="00830C48"/>
    <w:rsid w:val="00852DB5"/>
    <w:rsid w:val="00852E28"/>
    <w:rsid w:val="00857349"/>
    <w:rsid w:val="00860785"/>
    <w:rsid w:val="00861492"/>
    <w:rsid w:val="0086615E"/>
    <w:rsid w:val="00877ACD"/>
    <w:rsid w:val="0089267F"/>
    <w:rsid w:val="008A4890"/>
    <w:rsid w:val="008B6446"/>
    <w:rsid w:val="008E6DD9"/>
    <w:rsid w:val="008F5260"/>
    <w:rsid w:val="00901A91"/>
    <w:rsid w:val="0093290E"/>
    <w:rsid w:val="009602D3"/>
    <w:rsid w:val="0096559B"/>
    <w:rsid w:val="0098702E"/>
    <w:rsid w:val="009974E3"/>
    <w:rsid w:val="009A2E62"/>
    <w:rsid w:val="009A7E92"/>
    <w:rsid w:val="009B326D"/>
    <w:rsid w:val="009F119C"/>
    <w:rsid w:val="00A145D4"/>
    <w:rsid w:val="00A6464C"/>
    <w:rsid w:val="00A747A9"/>
    <w:rsid w:val="00A91D87"/>
    <w:rsid w:val="00A94772"/>
    <w:rsid w:val="00AA04DC"/>
    <w:rsid w:val="00B014D7"/>
    <w:rsid w:val="00B25B5F"/>
    <w:rsid w:val="00B46026"/>
    <w:rsid w:val="00B538B1"/>
    <w:rsid w:val="00B67C7A"/>
    <w:rsid w:val="00B76FF5"/>
    <w:rsid w:val="00B86D83"/>
    <w:rsid w:val="00B96500"/>
    <w:rsid w:val="00BB2F8C"/>
    <w:rsid w:val="00BE37E9"/>
    <w:rsid w:val="00C07504"/>
    <w:rsid w:val="00C15203"/>
    <w:rsid w:val="00C2342F"/>
    <w:rsid w:val="00C4230E"/>
    <w:rsid w:val="00C45C09"/>
    <w:rsid w:val="00C52285"/>
    <w:rsid w:val="00C572CB"/>
    <w:rsid w:val="00C65E75"/>
    <w:rsid w:val="00C67A6B"/>
    <w:rsid w:val="00C7190A"/>
    <w:rsid w:val="00C7755E"/>
    <w:rsid w:val="00C7790F"/>
    <w:rsid w:val="00C874BD"/>
    <w:rsid w:val="00C96184"/>
    <w:rsid w:val="00CA4E34"/>
    <w:rsid w:val="00CB0212"/>
    <w:rsid w:val="00CE3CED"/>
    <w:rsid w:val="00CE4440"/>
    <w:rsid w:val="00CF3E80"/>
    <w:rsid w:val="00CF43E8"/>
    <w:rsid w:val="00D016EF"/>
    <w:rsid w:val="00D0715D"/>
    <w:rsid w:val="00D17AE9"/>
    <w:rsid w:val="00D346C6"/>
    <w:rsid w:val="00D457B0"/>
    <w:rsid w:val="00D73689"/>
    <w:rsid w:val="00D75695"/>
    <w:rsid w:val="00D84F66"/>
    <w:rsid w:val="00DA3543"/>
    <w:rsid w:val="00DB4EFB"/>
    <w:rsid w:val="00DB5C7E"/>
    <w:rsid w:val="00DC012E"/>
    <w:rsid w:val="00DD6602"/>
    <w:rsid w:val="00DD6872"/>
    <w:rsid w:val="00DE1FD6"/>
    <w:rsid w:val="00DE3AC7"/>
    <w:rsid w:val="00DE4348"/>
    <w:rsid w:val="00DF241E"/>
    <w:rsid w:val="00E04A51"/>
    <w:rsid w:val="00E235A4"/>
    <w:rsid w:val="00E406AC"/>
    <w:rsid w:val="00E453B5"/>
    <w:rsid w:val="00E46642"/>
    <w:rsid w:val="00E850AD"/>
    <w:rsid w:val="00E85B24"/>
    <w:rsid w:val="00E95952"/>
    <w:rsid w:val="00E97593"/>
    <w:rsid w:val="00E976B7"/>
    <w:rsid w:val="00EA71BD"/>
    <w:rsid w:val="00EB32A6"/>
    <w:rsid w:val="00EB32C5"/>
    <w:rsid w:val="00EC029F"/>
    <w:rsid w:val="00ED5768"/>
    <w:rsid w:val="00EE23FA"/>
    <w:rsid w:val="00EE7326"/>
    <w:rsid w:val="00EF5657"/>
    <w:rsid w:val="00F00F80"/>
    <w:rsid w:val="00F12E48"/>
    <w:rsid w:val="00F17EE8"/>
    <w:rsid w:val="00F244A4"/>
    <w:rsid w:val="00F35750"/>
    <w:rsid w:val="00F52021"/>
    <w:rsid w:val="00F53BFB"/>
    <w:rsid w:val="00F559D7"/>
    <w:rsid w:val="00F62C74"/>
    <w:rsid w:val="00F6368C"/>
    <w:rsid w:val="00F66758"/>
    <w:rsid w:val="00F66ABC"/>
    <w:rsid w:val="00F725F6"/>
    <w:rsid w:val="00F77F9F"/>
    <w:rsid w:val="00F843B3"/>
    <w:rsid w:val="00F872B9"/>
    <w:rsid w:val="00FA0B05"/>
    <w:rsid w:val="00FA25CF"/>
    <w:rsid w:val="00FB3071"/>
    <w:rsid w:val="00FC27B9"/>
    <w:rsid w:val="00FC2A90"/>
    <w:rsid w:val="00FC2D93"/>
    <w:rsid w:val="00FD365A"/>
    <w:rsid w:val="00FD36B8"/>
    <w:rsid w:val="00FD59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9974E3"/>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uiPriority w:val="99"/>
    <w:qFormat/>
    <w:rsid w:val="00703664"/>
    <w:pPr>
      <w:spacing w:before="240"/>
    </w:pPr>
    <w:rPr>
      <w:rFonts w:asciiTheme="minorHAnsi" w:eastAsiaTheme="minorEastAsia" w:hAnsiTheme="minorHAnsi" w:cstheme="minorBidi"/>
      <w:b/>
      <w:color w:val="C00000"/>
      <w:sz w:val="32"/>
      <w:szCs w:val="22"/>
      <w:lang w:val="en-US" w:eastAsia="en-US" w:bidi="en-US"/>
    </w:rPr>
  </w:style>
  <w:style w:type="paragraph" w:customStyle="1" w:styleId="ASRBodyText">
    <w:name w:val="ASR Body Text"/>
    <w:basedOn w:val="Normal"/>
    <w:link w:val="ASRBodyTextChar"/>
    <w:qFormat/>
    <w:rsid w:val="00F17EE8"/>
    <w:pPr>
      <w:spacing w:before="120" w:after="120" w:line="240" w:lineRule="auto"/>
      <w:jc w:val="both"/>
    </w:pPr>
  </w:style>
  <w:style w:type="character" w:customStyle="1" w:styleId="ASRHeading1Char">
    <w:name w:val="ASR Heading 1 Char"/>
    <w:basedOn w:val="DefaultParagraphFont"/>
    <w:link w:val="ASRHeading1"/>
    <w:uiPriority w:val="99"/>
    <w:rsid w:val="00703664"/>
    <w:rPr>
      <w:rFonts w:asciiTheme="minorHAnsi" w:eastAsiaTheme="minorEastAsia" w:hAnsiTheme="minorHAnsi" w:cstheme="minorBidi"/>
      <w:b/>
      <w:color w:val="C00000"/>
      <w:sz w:val="32"/>
      <w:szCs w:val="22"/>
      <w:lang w:val="en-US" w:eastAsia="en-US" w:bidi="en-US"/>
    </w:rPr>
  </w:style>
  <w:style w:type="paragraph" w:customStyle="1" w:styleId="ASRHeading2">
    <w:name w:val="ASR Heading 2"/>
    <w:basedOn w:val="Normal"/>
    <w:uiPriority w:val="99"/>
    <w:qFormat/>
    <w:rsid w:val="002113BF"/>
    <w:pPr>
      <w:spacing w:before="240" w:after="0" w:line="240" w:lineRule="auto"/>
    </w:pPr>
    <w:rPr>
      <w:b/>
      <w:color w:val="000000" w:themeColor="text1"/>
      <w:sz w:val="28"/>
    </w:rPr>
  </w:style>
  <w:style w:type="paragraph" w:customStyle="1" w:styleId="ASRHeading3">
    <w:name w:val="ASR Heading 3"/>
    <w:basedOn w:val="Normal"/>
    <w:link w:val="ASRHeading3Char"/>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qFormat/>
    <w:rsid w:val="00C7190A"/>
    <w:pPr>
      <w:numPr>
        <w:numId w:val="1"/>
      </w:numPr>
      <w:spacing w:before="120" w:after="120" w:line="240" w:lineRule="auto"/>
      <w:ind w:left="357" w:hanging="357"/>
      <w:jc w:val="both"/>
    </w:pPr>
  </w:style>
  <w:style w:type="paragraph" w:customStyle="1" w:styleId="ASRHeading4">
    <w:name w:val="ASR Heading 4"/>
    <w:basedOn w:val="Normal"/>
    <w:link w:val="ASRHeading4Char"/>
    <w:uiPriority w:val="99"/>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paragraph" w:customStyle="1" w:styleId="StyleASRSchoolCodeWhite">
    <w:name w:val="Style ASR School Code + White"/>
    <w:basedOn w:val="Normal"/>
    <w:rsid w:val="00EE23FA"/>
    <w:pPr>
      <w:framePr w:hSpace="180" w:wrap="around" w:vAnchor="page" w:hAnchor="margin" w:xAlign="center" w:y="542"/>
      <w:spacing w:before="240" w:after="0" w:line="240" w:lineRule="auto"/>
      <w:ind w:right="170"/>
      <w:jc w:val="right"/>
    </w:pPr>
    <w:rPr>
      <w:rFonts w:ascii="Arial" w:eastAsia="Times New Roman" w:hAnsi="Arial" w:cs="Times New Roman"/>
      <w:b/>
      <w:bCs/>
      <w:color w:val="FFFFFF"/>
      <w:sz w:val="24"/>
      <w:szCs w:val="20"/>
      <w:lang w:eastAsia="en-AU"/>
    </w:rPr>
  </w:style>
  <w:style w:type="character" w:customStyle="1" w:styleId="ASRHeading4Char">
    <w:name w:val="ASR Heading 4 Char"/>
    <w:basedOn w:val="ASRBodyTextChar"/>
    <w:link w:val="ASRHeading4"/>
    <w:uiPriority w:val="99"/>
    <w:rsid w:val="00C65E75"/>
    <w:rPr>
      <w:rFonts w:ascii="Calibri" w:eastAsiaTheme="minorEastAsia" w:hAnsi="Calibri" w:cstheme="minorBidi"/>
      <w:b/>
      <w:sz w:val="22"/>
      <w:szCs w:val="22"/>
      <w:lang w:val="en-US" w:eastAsia="en-US" w:bidi="en-US"/>
    </w:rPr>
  </w:style>
  <w:style w:type="character" w:customStyle="1" w:styleId="ASRHeading3Char">
    <w:name w:val="ASR Heading 3 Char"/>
    <w:basedOn w:val="DefaultParagraphFont"/>
    <w:link w:val="ASRHeading3"/>
    <w:rsid w:val="00C65E75"/>
    <w:rPr>
      <w:rFonts w:ascii="Calibri" w:eastAsiaTheme="minorEastAsia" w:hAnsi="Calibri" w:cstheme="minorBidi"/>
      <w:b/>
      <w:bCs/>
      <w:sz w:val="24"/>
      <w:szCs w:val="24"/>
      <w:lang w:val="en-US" w:eastAsia="en-US" w:bidi="en-US"/>
    </w:rPr>
  </w:style>
  <w:style w:type="paragraph" w:customStyle="1" w:styleId="ASRListBullet1">
    <w:name w:val="ASR List Bullet 1"/>
    <w:basedOn w:val="ASRBodyText"/>
    <w:link w:val="ASRListBullet1Char"/>
    <w:qFormat/>
    <w:rsid w:val="001D3075"/>
    <w:pPr>
      <w:ind w:left="378" w:hanging="360"/>
    </w:pPr>
    <w:rPr>
      <w:rFonts w:ascii="Calibri" w:eastAsia="Times New Roman" w:hAnsi="Calibri" w:cs="Times New Roman"/>
    </w:rPr>
  </w:style>
  <w:style w:type="character" w:customStyle="1" w:styleId="ASRListBullet1Char">
    <w:name w:val="ASR List Bullet 1 Char"/>
    <w:basedOn w:val="ASRBodyTextChar"/>
    <w:link w:val="ASRListBullet1"/>
    <w:rsid w:val="001D3075"/>
    <w:rPr>
      <w:rFonts w:ascii="Calibri" w:eastAsiaTheme="minorEastAsia" w:hAnsi="Calibr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9974E3"/>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uiPriority w:val="99"/>
    <w:qFormat/>
    <w:rsid w:val="00703664"/>
    <w:pPr>
      <w:spacing w:before="240"/>
    </w:pPr>
    <w:rPr>
      <w:rFonts w:asciiTheme="minorHAnsi" w:eastAsiaTheme="minorEastAsia" w:hAnsiTheme="minorHAnsi" w:cstheme="minorBidi"/>
      <w:b/>
      <w:color w:val="C00000"/>
      <w:sz w:val="32"/>
      <w:szCs w:val="22"/>
      <w:lang w:val="en-US" w:eastAsia="en-US" w:bidi="en-US"/>
    </w:rPr>
  </w:style>
  <w:style w:type="paragraph" w:customStyle="1" w:styleId="ASRBodyText">
    <w:name w:val="ASR Body Text"/>
    <w:basedOn w:val="Normal"/>
    <w:link w:val="ASRBodyTextChar"/>
    <w:qFormat/>
    <w:rsid w:val="00F17EE8"/>
    <w:pPr>
      <w:spacing w:before="120" w:after="120" w:line="240" w:lineRule="auto"/>
      <w:jc w:val="both"/>
    </w:pPr>
  </w:style>
  <w:style w:type="character" w:customStyle="1" w:styleId="ASRHeading1Char">
    <w:name w:val="ASR Heading 1 Char"/>
    <w:basedOn w:val="DefaultParagraphFont"/>
    <w:link w:val="ASRHeading1"/>
    <w:uiPriority w:val="99"/>
    <w:rsid w:val="00703664"/>
    <w:rPr>
      <w:rFonts w:asciiTheme="minorHAnsi" w:eastAsiaTheme="minorEastAsia" w:hAnsiTheme="minorHAnsi" w:cstheme="minorBidi"/>
      <w:b/>
      <w:color w:val="C00000"/>
      <w:sz w:val="32"/>
      <w:szCs w:val="22"/>
      <w:lang w:val="en-US" w:eastAsia="en-US" w:bidi="en-US"/>
    </w:rPr>
  </w:style>
  <w:style w:type="paragraph" w:customStyle="1" w:styleId="ASRHeading2">
    <w:name w:val="ASR Heading 2"/>
    <w:basedOn w:val="Normal"/>
    <w:uiPriority w:val="99"/>
    <w:qFormat/>
    <w:rsid w:val="002113BF"/>
    <w:pPr>
      <w:spacing w:before="240" w:after="0" w:line="240" w:lineRule="auto"/>
    </w:pPr>
    <w:rPr>
      <w:b/>
      <w:color w:val="000000" w:themeColor="text1"/>
      <w:sz w:val="28"/>
    </w:rPr>
  </w:style>
  <w:style w:type="paragraph" w:customStyle="1" w:styleId="ASRHeading3">
    <w:name w:val="ASR Heading 3"/>
    <w:basedOn w:val="Normal"/>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qFormat/>
    <w:rsid w:val="00C7190A"/>
    <w:pPr>
      <w:numPr>
        <w:numId w:val="1"/>
      </w:numPr>
      <w:spacing w:before="120" w:after="120" w:line="240" w:lineRule="auto"/>
      <w:ind w:left="357" w:hanging="357"/>
      <w:jc w:val="both"/>
    </w:pPr>
  </w:style>
  <w:style w:type="paragraph" w:customStyle="1" w:styleId="ASRHeading4">
    <w:name w:val="ASR Heading 4"/>
    <w:basedOn w:val="Normal"/>
    <w:uiPriority w:val="99"/>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paragraph" w:customStyle="1" w:styleId="StyleASRSchoolCodeWhite">
    <w:name w:val="Style ASR School Code + White"/>
    <w:basedOn w:val="Normal"/>
    <w:rsid w:val="00EE23FA"/>
    <w:pPr>
      <w:framePr w:hSpace="180" w:wrap="around" w:vAnchor="page" w:hAnchor="margin" w:xAlign="center" w:y="542"/>
      <w:spacing w:before="240" w:after="0" w:line="240" w:lineRule="auto"/>
      <w:ind w:right="170"/>
      <w:jc w:val="right"/>
    </w:pPr>
    <w:rPr>
      <w:rFonts w:ascii="Arial" w:eastAsia="Times New Roman" w:hAnsi="Arial" w:cs="Times New Roman"/>
      <w:b/>
      <w:bCs/>
      <w:color w:val="FFFFFF"/>
      <w:sz w:val="24"/>
      <w:szCs w:val="20"/>
      <w:lang w:eastAsia="en-AU"/>
    </w:rPr>
  </w:style>
  <w:style w:type="character" w:customStyle="1" w:styleId="ASRHeading4Char">
    <w:name w:val="ASR Heading 4 Char"/>
    <w:basedOn w:val="ASRBodyTextChar"/>
    <w:link w:val="ASRHeading4"/>
    <w:uiPriority w:val="99"/>
    <w:rsid w:val="00C65E75"/>
    <w:rPr>
      <w:rFonts w:ascii="Calibri" w:eastAsiaTheme="minorEastAsia" w:hAnsi="Calibri" w:cstheme="minorBidi"/>
      <w:b/>
      <w:sz w:val="22"/>
      <w:szCs w:val="22"/>
      <w:lang w:val="en-US" w:eastAsia="en-US" w:bidi="en-US"/>
    </w:rPr>
  </w:style>
  <w:style w:type="character" w:customStyle="1" w:styleId="ASRHeading3Char">
    <w:name w:val="ASR Heading 3 Char"/>
    <w:basedOn w:val="DefaultParagraphFont"/>
    <w:link w:val="ASRHeading3"/>
    <w:rsid w:val="00C65E75"/>
    <w:rPr>
      <w:rFonts w:ascii="Calibri" w:eastAsiaTheme="minorEastAsia" w:hAnsi="Calibri" w:cstheme="minorBidi"/>
      <w:b/>
      <w:bCs/>
      <w:sz w:val="24"/>
      <w:szCs w:val="24"/>
      <w:lang w:val="en-US" w:eastAsia="en-US" w:bidi="en-US"/>
    </w:rPr>
  </w:style>
  <w:style w:type="paragraph" w:customStyle="1" w:styleId="ASRListBullet1">
    <w:name w:val="ASR List Bullet 1"/>
    <w:basedOn w:val="ASRBodyText"/>
    <w:link w:val="ASRListBullet1Char"/>
    <w:qFormat/>
    <w:rsid w:val="001D3075"/>
    <w:pPr>
      <w:ind w:left="378" w:hanging="360"/>
    </w:pPr>
    <w:rPr>
      <w:rFonts w:ascii="Calibri" w:eastAsia="Times New Roman" w:hAnsi="Calibri" w:cs="Times New Roman"/>
    </w:rPr>
  </w:style>
  <w:style w:type="character" w:customStyle="1" w:styleId="ASRListBullet1Char">
    <w:name w:val="ASR List Bullet 1 Char"/>
    <w:basedOn w:val="ASRBodyTextChar"/>
    <w:link w:val="ASRListBullet1"/>
    <w:rsid w:val="001D3075"/>
    <w:rPr>
      <w:rFonts w:ascii="Calibri" w:eastAsiaTheme="minorEastAsia" w:hAnsi="Calibri" w:cstheme="minorBid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21506364">
      <w:bodyDiv w:val="1"/>
      <w:marLeft w:val="0"/>
      <w:marRight w:val="0"/>
      <w:marTop w:val="0"/>
      <w:marBottom w:val="0"/>
      <w:divBdr>
        <w:top w:val="none" w:sz="0" w:space="0" w:color="auto"/>
        <w:left w:val="none" w:sz="0" w:space="0" w:color="auto"/>
        <w:bottom w:val="none" w:sz="0" w:space="0" w:color="auto"/>
        <w:right w:val="none" w:sz="0" w:space="0" w:color="auto"/>
      </w:divBdr>
    </w:div>
    <w:div w:id="156265571">
      <w:bodyDiv w:val="1"/>
      <w:marLeft w:val="0"/>
      <w:marRight w:val="0"/>
      <w:marTop w:val="0"/>
      <w:marBottom w:val="0"/>
      <w:divBdr>
        <w:top w:val="none" w:sz="0" w:space="0" w:color="auto"/>
        <w:left w:val="none" w:sz="0" w:space="0" w:color="auto"/>
        <w:bottom w:val="none" w:sz="0" w:space="0" w:color="auto"/>
        <w:right w:val="none" w:sz="0" w:space="0" w:color="auto"/>
      </w:divBdr>
    </w:div>
    <w:div w:id="314993549">
      <w:bodyDiv w:val="1"/>
      <w:marLeft w:val="0"/>
      <w:marRight w:val="0"/>
      <w:marTop w:val="0"/>
      <w:marBottom w:val="0"/>
      <w:divBdr>
        <w:top w:val="none" w:sz="0" w:space="0" w:color="auto"/>
        <w:left w:val="none" w:sz="0" w:space="0" w:color="auto"/>
        <w:bottom w:val="none" w:sz="0" w:space="0" w:color="auto"/>
        <w:right w:val="none" w:sz="0" w:space="0" w:color="auto"/>
      </w:divBdr>
    </w:div>
    <w:div w:id="322703959">
      <w:bodyDiv w:val="1"/>
      <w:marLeft w:val="0"/>
      <w:marRight w:val="0"/>
      <w:marTop w:val="0"/>
      <w:marBottom w:val="0"/>
      <w:divBdr>
        <w:top w:val="none" w:sz="0" w:space="0" w:color="auto"/>
        <w:left w:val="none" w:sz="0" w:space="0" w:color="auto"/>
        <w:bottom w:val="none" w:sz="0" w:space="0" w:color="auto"/>
        <w:right w:val="none" w:sz="0" w:space="0" w:color="auto"/>
      </w:divBdr>
    </w:div>
    <w:div w:id="505053090">
      <w:bodyDiv w:val="1"/>
      <w:marLeft w:val="0"/>
      <w:marRight w:val="0"/>
      <w:marTop w:val="0"/>
      <w:marBottom w:val="0"/>
      <w:divBdr>
        <w:top w:val="none" w:sz="0" w:space="0" w:color="auto"/>
        <w:left w:val="none" w:sz="0" w:space="0" w:color="auto"/>
        <w:bottom w:val="none" w:sz="0" w:space="0" w:color="auto"/>
        <w:right w:val="none" w:sz="0" w:space="0" w:color="auto"/>
      </w:divBdr>
    </w:div>
    <w:div w:id="591817768">
      <w:bodyDiv w:val="1"/>
      <w:marLeft w:val="0"/>
      <w:marRight w:val="0"/>
      <w:marTop w:val="0"/>
      <w:marBottom w:val="0"/>
      <w:divBdr>
        <w:top w:val="none" w:sz="0" w:space="0" w:color="auto"/>
        <w:left w:val="none" w:sz="0" w:space="0" w:color="auto"/>
        <w:bottom w:val="none" w:sz="0" w:space="0" w:color="auto"/>
        <w:right w:val="none" w:sz="0" w:space="0" w:color="auto"/>
      </w:divBdr>
    </w:div>
    <w:div w:id="612129148">
      <w:bodyDiv w:val="1"/>
      <w:marLeft w:val="0"/>
      <w:marRight w:val="0"/>
      <w:marTop w:val="0"/>
      <w:marBottom w:val="0"/>
      <w:divBdr>
        <w:top w:val="none" w:sz="0" w:space="0" w:color="auto"/>
        <w:left w:val="none" w:sz="0" w:space="0" w:color="auto"/>
        <w:bottom w:val="none" w:sz="0" w:space="0" w:color="auto"/>
        <w:right w:val="none" w:sz="0" w:space="0" w:color="auto"/>
      </w:divBdr>
    </w:div>
    <w:div w:id="722480923">
      <w:bodyDiv w:val="1"/>
      <w:marLeft w:val="0"/>
      <w:marRight w:val="0"/>
      <w:marTop w:val="0"/>
      <w:marBottom w:val="0"/>
      <w:divBdr>
        <w:top w:val="none" w:sz="0" w:space="0" w:color="auto"/>
        <w:left w:val="none" w:sz="0" w:space="0" w:color="auto"/>
        <w:bottom w:val="none" w:sz="0" w:space="0" w:color="auto"/>
        <w:right w:val="none" w:sz="0" w:space="0" w:color="auto"/>
      </w:divBdr>
    </w:div>
    <w:div w:id="831680072">
      <w:bodyDiv w:val="1"/>
      <w:marLeft w:val="0"/>
      <w:marRight w:val="0"/>
      <w:marTop w:val="0"/>
      <w:marBottom w:val="0"/>
      <w:divBdr>
        <w:top w:val="none" w:sz="0" w:space="0" w:color="auto"/>
        <w:left w:val="none" w:sz="0" w:space="0" w:color="auto"/>
        <w:bottom w:val="none" w:sz="0" w:space="0" w:color="auto"/>
        <w:right w:val="none" w:sz="0" w:space="0" w:color="auto"/>
      </w:divBdr>
      <w:divsChild>
        <w:div w:id="1957444416">
          <w:marLeft w:val="0"/>
          <w:marRight w:val="0"/>
          <w:marTop w:val="0"/>
          <w:marBottom w:val="0"/>
          <w:divBdr>
            <w:top w:val="none" w:sz="0" w:space="0" w:color="auto"/>
            <w:left w:val="none" w:sz="0" w:space="0" w:color="auto"/>
            <w:bottom w:val="none" w:sz="0" w:space="0" w:color="auto"/>
            <w:right w:val="none" w:sz="0" w:space="0" w:color="auto"/>
          </w:divBdr>
          <w:divsChild>
            <w:div w:id="1779059603">
              <w:marLeft w:val="0"/>
              <w:marRight w:val="0"/>
              <w:marTop w:val="0"/>
              <w:marBottom w:val="0"/>
              <w:divBdr>
                <w:top w:val="none" w:sz="0" w:space="0" w:color="auto"/>
                <w:left w:val="none" w:sz="0" w:space="0" w:color="auto"/>
                <w:bottom w:val="none" w:sz="0" w:space="0" w:color="auto"/>
                <w:right w:val="none" w:sz="0" w:space="0" w:color="auto"/>
              </w:divBdr>
              <w:divsChild>
                <w:div w:id="379323755">
                  <w:marLeft w:val="0"/>
                  <w:marRight w:val="0"/>
                  <w:marTop w:val="480"/>
                  <w:marBottom w:val="480"/>
                  <w:divBdr>
                    <w:top w:val="none" w:sz="0" w:space="0" w:color="auto"/>
                    <w:left w:val="none" w:sz="0" w:space="0" w:color="auto"/>
                    <w:bottom w:val="single" w:sz="36" w:space="18" w:color="EFEFEF"/>
                    <w:right w:val="none" w:sz="0" w:space="0" w:color="auto"/>
                  </w:divBdr>
                  <w:divsChild>
                    <w:div w:id="171542365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4907">
      <w:bodyDiv w:val="1"/>
      <w:marLeft w:val="0"/>
      <w:marRight w:val="0"/>
      <w:marTop w:val="0"/>
      <w:marBottom w:val="0"/>
      <w:divBdr>
        <w:top w:val="none" w:sz="0" w:space="0" w:color="auto"/>
        <w:left w:val="none" w:sz="0" w:space="0" w:color="auto"/>
        <w:bottom w:val="none" w:sz="0" w:space="0" w:color="auto"/>
        <w:right w:val="none" w:sz="0" w:space="0" w:color="auto"/>
      </w:divBdr>
    </w:div>
    <w:div w:id="1051031594">
      <w:bodyDiv w:val="1"/>
      <w:marLeft w:val="0"/>
      <w:marRight w:val="0"/>
      <w:marTop w:val="0"/>
      <w:marBottom w:val="0"/>
      <w:divBdr>
        <w:top w:val="none" w:sz="0" w:space="0" w:color="auto"/>
        <w:left w:val="none" w:sz="0" w:space="0" w:color="auto"/>
        <w:bottom w:val="none" w:sz="0" w:space="0" w:color="auto"/>
        <w:right w:val="none" w:sz="0" w:space="0" w:color="auto"/>
      </w:divBdr>
      <w:divsChild>
        <w:div w:id="6835233">
          <w:marLeft w:val="0"/>
          <w:marRight w:val="0"/>
          <w:marTop w:val="0"/>
          <w:marBottom w:val="0"/>
          <w:divBdr>
            <w:top w:val="none" w:sz="0" w:space="0" w:color="auto"/>
            <w:left w:val="none" w:sz="0" w:space="0" w:color="auto"/>
            <w:bottom w:val="none" w:sz="0" w:space="0" w:color="auto"/>
            <w:right w:val="none" w:sz="0" w:space="0" w:color="auto"/>
          </w:divBdr>
          <w:divsChild>
            <w:div w:id="973679746">
              <w:marLeft w:val="0"/>
              <w:marRight w:val="0"/>
              <w:marTop w:val="0"/>
              <w:marBottom w:val="0"/>
              <w:divBdr>
                <w:top w:val="none" w:sz="0" w:space="0" w:color="auto"/>
                <w:left w:val="none" w:sz="0" w:space="0" w:color="auto"/>
                <w:bottom w:val="none" w:sz="0" w:space="0" w:color="auto"/>
                <w:right w:val="none" w:sz="0" w:space="0" w:color="auto"/>
              </w:divBdr>
              <w:divsChild>
                <w:div w:id="259023633">
                  <w:marLeft w:val="0"/>
                  <w:marRight w:val="0"/>
                  <w:marTop w:val="480"/>
                  <w:marBottom w:val="480"/>
                  <w:divBdr>
                    <w:top w:val="none" w:sz="0" w:space="0" w:color="auto"/>
                    <w:left w:val="none" w:sz="0" w:space="0" w:color="auto"/>
                    <w:bottom w:val="single" w:sz="36" w:space="18" w:color="EFEFEF"/>
                    <w:right w:val="none" w:sz="0" w:space="0" w:color="auto"/>
                  </w:divBdr>
                  <w:divsChild>
                    <w:div w:id="2057851303">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26682">
      <w:bodyDiv w:val="1"/>
      <w:marLeft w:val="0"/>
      <w:marRight w:val="0"/>
      <w:marTop w:val="0"/>
      <w:marBottom w:val="0"/>
      <w:divBdr>
        <w:top w:val="none" w:sz="0" w:space="0" w:color="auto"/>
        <w:left w:val="none" w:sz="0" w:space="0" w:color="auto"/>
        <w:bottom w:val="none" w:sz="0" w:space="0" w:color="auto"/>
        <w:right w:val="none" w:sz="0" w:space="0" w:color="auto"/>
      </w:divBdr>
    </w:div>
    <w:div w:id="1199507440">
      <w:bodyDiv w:val="1"/>
      <w:marLeft w:val="0"/>
      <w:marRight w:val="0"/>
      <w:marTop w:val="0"/>
      <w:marBottom w:val="0"/>
      <w:divBdr>
        <w:top w:val="none" w:sz="0" w:space="0" w:color="auto"/>
        <w:left w:val="none" w:sz="0" w:space="0" w:color="auto"/>
        <w:bottom w:val="none" w:sz="0" w:space="0" w:color="auto"/>
        <w:right w:val="none" w:sz="0" w:space="0" w:color="auto"/>
      </w:divBdr>
    </w:div>
    <w:div w:id="1241453034">
      <w:bodyDiv w:val="1"/>
      <w:marLeft w:val="0"/>
      <w:marRight w:val="0"/>
      <w:marTop w:val="0"/>
      <w:marBottom w:val="0"/>
      <w:divBdr>
        <w:top w:val="none" w:sz="0" w:space="0" w:color="auto"/>
        <w:left w:val="none" w:sz="0" w:space="0" w:color="auto"/>
        <w:bottom w:val="none" w:sz="0" w:space="0" w:color="auto"/>
        <w:right w:val="none" w:sz="0" w:space="0" w:color="auto"/>
      </w:divBdr>
    </w:div>
    <w:div w:id="1261840170">
      <w:bodyDiv w:val="1"/>
      <w:marLeft w:val="0"/>
      <w:marRight w:val="0"/>
      <w:marTop w:val="0"/>
      <w:marBottom w:val="0"/>
      <w:divBdr>
        <w:top w:val="none" w:sz="0" w:space="0" w:color="auto"/>
        <w:left w:val="none" w:sz="0" w:space="0" w:color="auto"/>
        <w:bottom w:val="none" w:sz="0" w:space="0" w:color="auto"/>
        <w:right w:val="none" w:sz="0" w:space="0" w:color="auto"/>
      </w:divBdr>
    </w:div>
    <w:div w:id="1323511043">
      <w:bodyDiv w:val="1"/>
      <w:marLeft w:val="0"/>
      <w:marRight w:val="0"/>
      <w:marTop w:val="0"/>
      <w:marBottom w:val="0"/>
      <w:divBdr>
        <w:top w:val="none" w:sz="0" w:space="0" w:color="auto"/>
        <w:left w:val="none" w:sz="0" w:space="0" w:color="auto"/>
        <w:bottom w:val="none" w:sz="0" w:space="0" w:color="auto"/>
        <w:right w:val="none" w:sz="0" w:space="0" w:color="auto"/>
      </w:divBdr>
    </w:div>
    <w:div w:id="1396203439">
      <w:bodyDiv w:val="1"/>
      <w:marLeft w:val="0"/>
      <w:marRight w:val="0"/>
      <w:marTop w:val="0"/>
      <w:marBottom w:val="0"/>
      <w:divBdr>
        <w:top w:val="none" w:sz="0" w:space="0" w:color="auto"/>
        <w:left w:val="none" w:sz="0" w:space="0" w:color="auto"/>
        <w:bottom w:val="none" w:sz="0" w:space="0" w:color="auto"/>
        <w:right w:val="none" w:sz="0" w:space="0" w:color="auto"/>
      </w:divBdr>
    </w:div>
    <w:div w:id="1432700322">
      <w:bodyDiv w:val="1"/>
      <w:marLeft w:val="0"/>
      <w:marRight w:val="0"/>
      <w:marTop w:val="0"/>
      <w:marBottom w:val="0"/>
      <w:divBdr>
        <w:top w:val="none" w:sz="0" w:space="0" w:color="auto"/>
        <w:left w:val="none" w:sz="0" w:space="0" w:color="auto"/>
        <w:bottom w:val="none" w:sz="0" w:space="0" w:color="auto"/>
        <w:right w:val="none" w:sz="0" w:space="0" w:color="auto"/>
      </w:divBdr>
    </w:div>
    <w:div w:id="1435590284">
      <w:bodyDiv w:val="1"/>
      <w:marLeft w:val="0"/>
      <w:marRight w:val="0"/>
      <w:marTop w:val="0"/>
      <w:marBottom w:val="0"/>
      <w:divBdr>
        <w:top w:val="none" w:sz="0" w:space="0" w:color="auto"/>
        <w:left w:val="none" w:sz="0" w:space="0" w:color="auto"/>
        <w:bottom w:val="none" w:sz="0" w:space="0" w:color="auto"/>
        <w:right w:val="none" w:sz="0" w:space="0" w:color="auto"/>
      </w:divBdr>
    </w:div>
    <w:div w:id="1456754901">
      <w:bodyDiv w:val="1"/>
      <w:marLeft w:val="0"/>
      <w:marRight w:val="0"/>
      <w:marTop w:val="0"/>
      <w:marBottom w:val="0"/>
      <w:divBdr>
        <w:top w:val="none" w:sz="0" w:space="0" w:color="auto"/>
        <w:left w:val="none" w:sz="0" w:space="0" w:color="auto"/>
        <w:bottom w:val="none" w:sz="0" w:space="0" w:color="auto"/>
        <w:right w:val="none" w:sz="0" w:space="0" w:color="auto"/>
      </w:divBdr>
    </w:div>
    <w:div w:id="1625766116">
      <w:bodyDiv w:val="1"/>
      <w:marLeft w:val="0"/>
      <w:marRight w:val="0"/>
      <w:marTop w:val="0"/>
      <w:marBottom w:val="0"/>
      <w:divBdr>
        <w:top w:val="none" w:sz="0" w:space="0" w:color="auto"/>
        <w:left w:val="none" w:sz="0" w:space="0" w:color="auto"/>
        <w:bottom w:val="none" w:sz="0" w:space="0" w:color="auto"/>
        <w:right w:val="none" w:sz="0" w:space="0" w:color="auto"/>
      </w:divBdr>
    </w:div>
    <w:div w:id="1675566239">
      <w:bodyDiv w:val="1"/>
      <w:marLeft w:val="0"/>
      <w:marRight w:val="0"/>
      <w:marTop w:val="0"/>
      <w:marBottom w:val="0"/>
      <w:divBdr>
        <w:top w:val="none" w:sz="0" w:space="0" w:color="auto"/>
        <w:left w:val="none" w:sz="0" w:space="0" w:color="auto"/>
        <w:bottom w:val="none" w:sz="0" w:space="0" w:color="auto"/>
        <w:right w:val="none" w:sz="0" w:space="0" w:color="auto"/>
      </w:divBdr>
      <w:divsChild>
        <w:div w:id="1804540946">
          <w:marLeft w:val="0"/>
          <w:marRight w:val="0"/>
          <w:marTop w:val="0"/>
          <w:marBottom w:val="0"/>
          <w:divBdr>
            <w:top w:val="none" w:sz="0" w:space="0" w:color="auto"/>
            <w:left w:val="none" w:sz="0" w:space="0" w:color="auto"/>
            <w:bottom w:val="none" w:sz="0" w:space="0" w:color="auto"/>
            <w:right w:val="none" w:sz="0" w:space="0" w:color="auto"/>
          </w:divBdr>
          <w:divsChild>
            <w:div w:id="110129509">
              <w:marLeft w:val="0"/>
              <w:marRight w:val="0"/>
              <w:marTop w:val="0"/>
              <w:marBottom w:val="0"/>
              <w:divBdr>
                <w:top w:val="none" w:sz="0" w:space="0" w:color="auto"/>
                <w:left w:val="none" w:sz="0" w:space="0" w:color="auto"/>
                <w:bottom w:val="none" w:sz="0" w:space="0" w:color="auto"/>
                <w:right w:val="none" w:sz="0" w:space="0" w:color="auto"/>
              </w:divBdr>
              <w:divsChild>
                <w:div w:id="337316458">
                  <w:marLeft w:val="0"/>
                  <w:marRight w:val="0"/>
                  <w:marTop w:val="480"/>
                  <w:marBottom w:val="480"/>
                  <w:divBdr>
                    <w:top w:val="none" w:sz="0" w:space="0" w:color="auto"/>
                    <w:left w:val="none" w:sz="0" w:space="0" w:color="auto"/>
                    <w:bottom w:val="single" w:sz="36" w:space="18" w:color="EFEFEF"/>
                    <w:right w:val="none" w:sz="0" w:space="0" w:color="auto"/>
                  </w:divBdr>
                  <w:divsChild>
                    <w:div w:id="39212183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25594">
      <w:bodyDiv w:val="1"/>
      <w:marLeft w:val="0"/>
      <w:marRight w:val="0"/>
      <w:marTop w:val="0"/>
      <w:marBottom w:val="0"/>
      <w:divBdr>
        <w:top w:val="none" w:sz="0" w:space="0" w:color="auto"/>
        <w:left w:val="none" w:sz="0" w:space="0" w:color="auto"/>
        <w:bottom w:val="none" w:sz="0" w:space="0" w:color="auto"/>
        <w:right w:val="none" w:sz="0" w:space="0" w:color="auto"/>
      </w:divBdr>
    </w:div>
    <w:div w:id="1997370809">
      <w:bodyDiv w:val="1"/>
      <w:marLeft w:val="0"/>
      <w:marRight w:val="0"/>
      <w:marTop w:val="0"/>
      <w:marBottom w:val="0"/>
      <w:divBdr>
        <w:top w:val="none" w:sz="0" w:space="0" w:color="auto"/>
        <w:left w:val="none" w:sz="0" w:space="0" w:color="auto"/>
        <w:bottom w:val="none" w:sz="0" w:space="0" w:color="auto"/>
        <w:right w:val="none" w:sz="0" w:space="0" w:color="auto"/>
      </w:divBdr>
    </w:div>
    <w:div w:id="1997611938">
      <w:bodyDiv w:val="1"/>
      <w:marLeft w:val="0"/>
      <w:marRight w:val="0"/>
      <w:marTop w:val="0"/>
      <w:marBottom w:val="0"/>
      <w:divBdr>
        <w:top w:val="none" w:sz="0" w:space="0" w:color="auto"/>
        <w:left w:val="none" w:sz="0" w:space="0" w:color="auto"/>
        <w:bottom w:val="none" w:sz="0" w:space="0" w:color="auto"/>
        <w:right w:val="none" w:sz="0" w:space="0" w:color="auto"/>
      </w:divBdr>
    </w:div>
    <w:div w:id="2012021576">
      <w:bodyDiv w:val="1"/>
      <w:marLeft w:val="0"/>
      <w:marRight w:val="0"/>
      <w:marTop w:val="0"/>
      <w:marBottom w:val="0"/>
      <w:divBdr>
        <w:top w:val="none" w:sz="0" w:space="0" w:color="auto"/>
        <w:left w:val="none" w:sz="0" w:space="0" w:color="auto"/>
        <w:bottom w:val="none" w:sz="0" w:space="0" w:color="auto"/>
        <w:right w:val="none" w:sz="0" w:space="0" w:color="auto"/>
      </w:divBdr>
    </w:div>
    <w:div w:id="2102338671">
      <w:bodyDiv w:val="1"/>
      <w:marLeft w:val="0"/>
      <w:marRight w:val="0"/>
      <w:marTop w:val="0"/>
      <w:marBottom w:val="0"/>
      <w:divBdr>
        <w:top w:val="none" w:sz="0" w:space="0" w:color="auto"/>
        <w:left w:val="none" w:sz="0" w:space="0" w:color="auto"/>
        <w:bottom w:val="none" w:sz="0" w:space="0" w:color="auto"/>
        <w:right w:val="none" w:sz="0" w:space="0" w:color="auto"/>
      </w:divBdr>
    </w:div>
    <w:div w:id="21426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8.xml"/><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chart" Target="charts/chart1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chart" Target="charts/chart1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image" Target="media/image14.emf"/><Relationship Id="rId41" Type="http://schemas.openxmlformats.org/officeDocument/2006/relationships/hyperlink" Target="http://www.schools.nsw.edu.au/as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chart" Target="charts/chart7.xml"/><Relationship Id="rId32" Type="http://schemas.openxmlformats.org/officeDocument/2006/relationships/chart" Target="charts/chart11.xml"/><Relationship Id="rId37" Type="http://schemas.openxmlformats.org/officeDocument/2006/relationships/chart" Target="charts/chart15.xml"/><Relationship Id="rId40" Type="http://schemas.openxmlformats.org/officeDocument/2006/relationships/image" Target="media/image18.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chart" Target="charts/chart9.xml"/><Relationship Id="rId36" Type="http://schemas.openxmlformats.org/officeDocument/2006/relationships/chart" Target="charts/chart14.xml"/><Relationship Id="rId10" Type="http://schemas.openxmlformats.org/officeDocument/2006/relationships/image" Target="media/image4.jpeg"/><Relationship Id="rId19" Type="http://schemas.openxmlformats.org/officeDocument/2006/relationships/image" Target="media/image9.emf"/><Relationship Id="rId31" Type="http://schemas.openxmlformats.org/officeDocument/2006/relationships/image" Target="media/image15.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image" Target="media/image13.emf"/><Relationship Id="rId30" Type="http://schemas.openxmlformats.org/officeDocument/2006/relationships/chart" Target="charts/chart10.xml"/><Relationship Id="rId35" Type="http://schemas.openxmlformats.org/officeDocument/2006/relationships/chart" Target="charts/chart13.xm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My%20Documents\ASR\2011\534_4218_Primary-Data-Sheet_2011_Gosford-East-Public-Sch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50" baseline="0"/>
            </a:pPr>
            <a:r>
              <a:rPr lang="en-AU" sz="1050" baseline="0"/>
              <a:t>Enrolments</a:t>
            </a:r>
          </a:p>
        </c:rich>
      </c:tx>
    </c:title>
    <c:plotArea>
      <c:layout>
        <c:manualLayout>
          <c:layoutTarget val="inner"/>
          <c:xMode val="edge"/>
          <c:yMode val="edge"/>
          <c:x val="0.19968527494730351"/>
          <c:y val="0.167819029809602"/>
          <c:w val="0.75919324182993841"/>
          <c:h val="0.58206469974385255"/>
        </c:manualLayout>
      </c:layout>
      <c:barChart>
        <c:barDir val="col"/>
        <c:grouping val="stacked"/>
        <c:ser>
          <c:idx val="0"/>
          <c:order val="0"/>
          <c:tx>
            <c:strRef>
              <c:f>'Tables and Graphs'!$DR$6</c:f>
              <c:strCache>
                <c:ptCount val="1"/>
                <c:pt idx="0">
                  <c:v>Male</c:v>
                </c:pt>
              </c:strCache>
            </c:strRef>
          </c:tx>
          <c:spPr>
            <a:solidFill>
              <a:schemeClr val="accent1">
                <a:lumMod val="60000"/>
                <a:lumOff val="40000"/>
              </a:schemeClr>
            </a:solidFill>
            <a:ln>
              <a:solidFill>
                <a:schemeClr val="tx1"/>
              </a:solidFill>
            </a:ln>
          </c:spPr>
          <c:cat>
            <c:numRef>
              <c:f>'Tables and Graphs'!$DS$5:$DW$5</c:f>
              <c:numCache>
                <c:formatCode>General</c:formatCode>
                <c:ptCount val="5"/>
                <c:pt idx="0">
                  <c:v>2007</c:v>
                </c:pt>
                <c:pt idx="1">
                  <c:v>2008</c:v>
                </c:pt>
                <c:pt idx="2">
                  <c:v>2009</c:v>
                </c:pt>
                <c:pt idx="3">
                  <c:v>2010</c:v>
                </c:pt>
                <c:pt idx="4">
                  <c:v>2011</c:v>
                </c:pt>
              </c:numCache>
            </c:numRef>
          </c:cat>
          <c:val>
            <c:numRef>
              <c:f>'Tables and Graphs'!$DS$6:$DW$6</c:f>
              <c:numCache>
                <c:formatCode>General</c:formatCode>
                <c:ptCount val="5"/>
                <c:pt idx="0">
                  <c:v>200</c:v>
                </c:pt>
                <c:pt idx="1">
                  <c:v>188</c:v>
                </c:pt>
                <c:pt idx="2">
                  <c:v>179</c:v>
                </c:pt>
                <c:pt idx="3">
                  <c:v>163</c:v>
                </c:pt>
                <c:pt idx="4">
                  <c:v>157</c:v>
                </c:pt>
              </c:numCache>
            </c:numRef>
          </c:val>
        </c:ser>
        <c:ser>
          <c:idx val="1"/>
          <c:order val="1"/>
          <c:tx>
            <c:strRef>
              <c:f>'Tables and Graphs'!$DR$7</c:f>
              <c:strCache>
                <c:ptCount val="1"/>
                <c:pt idx="0">
                  <c:v>Female</c:v>
                </c:pt>
              </c:strCache>
            </c:strRef>
          </c:tx>
          <c:spPr>
            <a:solidFill>
              <a:schemeClr val="accent2">
                <a:lumMod val="60000"/>
                <a:lumOff val="40000"/>
              </a:schemeClr>
            </a:solidFill>
            <a:ln>
              <a:solidFill>
                <a:schemeClr val="tx1"/>
              </a:solidFill>
            </a:ln>
          </c:spPr>
          <c:cat>
            <c:numRef>
              <c:f>'Tables and Graphs'!$DS$5:$DW$5</c:f>
              <c:numCache>
                <c:formatCode>General</c:formatCode>
                <c:ptCount val="5"/>
                <c:pt idx="0">
                  <c:v>2007</c:v>
                </c:pt>
                <c:pt idx="1">
                  <c:v>2008</c:v>
                </c:pt>
                <c:pt idx="2">
                  <c:v>2009</c:v>
                </c:pt>
                <c:pt idx="3">
                  <c:v>2010</c:v>
                </c:pt>
                <c:pt idx="4">
                  <c:v>2011</c:v>
                </c:pt>
              </c:numCache>
            </c:numRef>
          </c:cat>
          <c:val>
            <c:numRef>
              <c:f>'Tables and Graphs'!$DS$7:$DW$7</c:f>
              <c:numCache>
                <c:formatCode>General</c:formatCode>
                <c:ptCount val="5"/>
                <c:pt idx="0">
                  <c:v>128</c:v>
                </c:pt>
                <c:pt idx="1">
                  <c:v>144</c:v>
                </c:pt>
                <c:pt idx="2">
                  <c:v>139</c:v>
                </c:pt>
                <c:pt idx="3">
                  <c:v>141</c:v>
                </c:pt>
                <c:pt idx="4">
                  <c:v>138</c:v>
                </c:pt>
              </c:numCache>
            </c:numRef>
          </c:val>
        </c:ser>
        <c:overlap val="100"/>
        <c:axId val="205253632"/>
        <c:axId val="205382784"/>
      </c:barChart>
      <c:catAx>
        <c:axId val="205253632"/>
        <c:scaling>
          <c:orientation val="minMax"/>
        </c:scaling>
        <c:axPos val="b"/>
        <c:title>
          <c:tx>
            <c:rich>
              <a:bodyPr/>
              <a:lstStyle/>
              <a:p>
                <a:pPr>
                  <a:defRPr/>
                </a:pPr>
                <a:r>
                  <a:rPr lang="en-AU"/>
                  <a:t>Year</a:t>
                </a:r>
              </a:p>
            </c:rich>
          </c:tx>
          <c:layout>
            <c:manualLayout>
              <c:xMode val="edge"/>
              <c:yMode val="edge"/>
              <c:x val="0.53336250862240242"/>
              <c:y val="0.84169889004839682"/>
            </c:manualLayout>
          </c:layout>
        </c:title>
        <c:numFmt formatCode="General" sourceLinked="1"/>
        <c:tickLblPos val="nextTo"/>
        <c:txPr>
          <a:bodyPr/>
          <a:lstStyle/>
          <a:p>
            <a:pPr>
              <a:defRPr sz="1000" b="0"/>
            </a:pPr>
            <a:endParaRPr lang="en-US"/>
          </a:p>
        </c:txPr>
        <c:crossAx val="205382784"/>
        <c:crosses val="autoZero"/>
        <c:auto val="1"/>
        <c:lblAlgn val="ctr"/>
        <c:lblOffset val="100"/>
      </c:catAx>
      <c:valAx>
        <c:axId val="205382784"/>
        <c:scaling>
          <c:orientation val="minMax"/>
          <c:min val="0"/>
        </c:scaling>
        <c:axPos val="l"/>
        <c:majorGridlines/>
        <c:title>
          <c:tx>
            <c:rich>
              <a:bodyPr rot="-5400000" vert="horz"/>
              <a:lstStyle/>
              <a:p>
                <a:pPr>
                  <a:defRPr sz="1100" baseline="0"/>
                </a:pPr>
                <a:r>
                  <a:rPr lang="en-AU" sz="1100" baseline="0"/>
                  <a:t>Students</a:t>
                </a:r>
              </a:p>
            </c:rich>
          </c:tx>
          <c:layout>
            <c:manualLayout>
              <c:xMode val="edge"/>
              <c:yMode val="edge"/>
              <c:x val="1.538835943550484E-3"/>
              <c:y val="0.34686310596718023"/>
            </c:manualLayout>
          </c:layout>
        </c:title>
        <c:numFmt formatCode="General" sourceLinked="1"/>
        <c:tickLblPos val="nextTo"/>
        <c:txPr>
          <a:bodyPr/>
          <a:lstStyle/>
          <a:p>
            <a:pPr>
              <a:defRPr b="0"/>
            </a:pPr>
            <a:endParaRPr lang="en-US"/>
          </a:p>
        </c:txPr>
        <c:crossAx val="205253632"/>
        <c:crosses val="autoZero"/>
        <c:crossBetween val="between"/>
      </c:valAx>
    </c:plotArea>
    <c:legend>
      <c:legendPos val="b"/>
      <c:layout>
        <c:manualLayout>
          <c:xMode val="edge"/>
          <c:yMode val="edge"/>
          <c:x val="0.29442859370967317"/>
          <c:y val="0.91767270657432964"/>
          <c:w val="0.38758262251527886"/>
          <c:h val="6.3050184991937014E-2"/>
        </c:manualLayout>
      </c:layout>
      <c:txPr>
        <a:bodyPr/>
        <a:lstStyle/>
        <a:p>
          <a:pPr>
            <a:defRPr sz="1000" b="1" baseline="0"/>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5 Spelling</a:t>
            </a:r>
          </a:p>
        </c:rich>
      </c:tx>
      <c:spPr>
        <a:ln w="0"/>
      </c:spPr>
    </c:title>
    <c:plotArea>
      <c:layout>
        <c:manualLayout>
          <c:layoutTarget val="inner"/>
          <c:xMode val="edge"/>
          <c:yMode val="edge"/>
          <c:x val="0.20106736918392798"/>
          <c:y val="0.15769320247953494"/>
          <c:w val="0.77078564444594599"/>
          <c:h val="0.53550321036297199"/>
        </c:manualLayout>
      </c:layout>
      <c:barChart>
        <c:barDir val="col"/>
        <c:grouping val="clustered"/>
        <c:ser>
          <c:idx val="0"/>
          <c:order val="0"/>
          <c:tx>
            <c:strRef>
              <c:f>'Tables and Graphs'!$BI$10:$BK$10</c:f>
              <c:strCache>
                <c:ptCount val="1"/>
                <c:pt idx="0">
                  <c:v>Percentage in Band</c:v>
                </c:pt>
              </c:strCache>
            </c:strRef>
          </c:tx>
          <c:spPr>
            <a:solidFill>
              <a:schemeClr val="accent2">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Graphs'!$BL$14:$BQ$14</c:f>
              <c:numCache>
                <c:formatCode>0.0</c:formatCode>
                <c:ptCount val="6"/>
                <c:pt idx="0">
                  <c:v>11.76470588235294</c:v>
                </c:pt>
                <c:pt idx="1">
                  <c:v>8.8235294117647065</c:v>
                </c:pt>
                <c:pt idx="2">
                  <c:v>23.52941176470588</c:v>
                </c:pt>
                <c:pt idx="3">
                  <c:v>20.588235294117503</c:v>
                </c:pt>
                <c:pt idx="4">
                  <c:v>32.352941176470544</c:v>
                </c:pt>
                <c:pt idx="5">
                  <c:v>2.9411764705882337</c:v>
                </c:pt>
              </c:numCache>
            </c:numRef>
          </c:val>
        </c:ser>
        <c:ser>
          <c:idx val="1"/>
          <c:order val="1"/>
          <c:tx>
            <c:strRef>
              <c:f>'Tables and Graphs'!$BI$11:$BK$11</c:f>
              <c:strCache>
                <c:ptCount val="1"/>
                <c:pt idx="0">
                  <c:v>School Average 2008-2011</c:v>
                </c:pt>
              </c:strCache>
            </c:strRef>
          </c:tx>
          <c:spPr>
            <a:solidFill>
              <a:schemeClr val="accent4">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Graphs'!$BL$15:$BQ$15</c:f>
              <c:numCache>
                <c:formatCode>0.0</c:formatCode>
                <c:ptCount val="6"/>
                <c:pt idx="0">
                  <c:v>6.9620253164556845</c:v>
                </c:pt>
                <c:pt idx="1">
                  <c:v>10.759493670886076</c:v>
                </c:pt>
                <c:pt idx="2">
                  <c:v>22.78481012658229</c:v>
                </c:pt>
                <c:pt idx="3">
                  <c:v>31.012658227848135</c:v>
                </c:pt>
                <c:pt idx="4">
                  <c:v>23.417721518987289</c:v>
                </c:pt>
                <c:pt idx="5">
                  <c:v>5.0632911392405084</c:v>
                </c:pt>
              </c:numCache>
            </c:numRef>
          </c:val>
        </c:ser>
        <c:ser>
          <c:idx val="2"/>
          <c:order val="2"/>
          <c:tx>
            <c:strRef>
              <c:f>'Tables and Graphs'!$BI$12:$BK$12</c:f>
              <c:strCache>
                <c:ptCount val="1"/>
                <c:pt idx="0">
                  <c:v>SSG % in Band 2011</c:v>
                </c:pt>
              </c:strCache>
            </c:strRef>
          </c:tx>
          <c:spPr>
            <a:solidFill>
              <a:schemeClr val="accent3">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Graphs'!$BL$12:$BQ$12</c:f>
              <c:numCache>
                <c:formatCode>0.0</c:formatCode>
                <c:ptCount val="6"/>
                <c:pt idx="0">
                  <c:v>6.1</c:v>
                </c:pt>
                <c:pt idx="1">
                  <c:v>11.5</c:v>
                </c:pt>
                <c:pt idx="2">
                  <c:v>27.6</c:v>
                </c:pt>
                <c:pt idx="3">
                  <c:v>27</c:v>
                </c:pt>
                <c:pt idx="4">
                  <c:v>20.5</c:v>
                </c:pt>
                <c:pt idx="5">
                  <c:v>7.2</c:v>
                </c:pt>
              </c:numCache>
            </c:numRef>
          </c:val>
        </c:ser>
        <c:ser>
          <c:idx val="3"/>
          <c:order val="3"/>
          <c:tx>
            <c:strRef>
              <c:f>'Tables and Graphs'!$BI$13:$BK$13</c:f>
              <c:strCache>
                <c:ptCount val="1"/>
                <c:pt idx="0">
                  <c:v>State DEC % in Band 2011</c:v>
                </c:pt>
              </c:strCache>
            </c:strRef>
          </c:tx>
          <c:spPr>
            <a:solidFill>
              <a:schemeClr val="tx2">
                <a:lumMod val="40000"/>
                <a:lumOff val="6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Graphs'!$BL$13:$BQ$13</c:f>
              <c:numCache>
                <c:formatCode>0.0</c:formatCode>
                <c:ptCount val="6"/>
                <c:pt idx="0">
                  <c:v>5.8</c:v>
                </c:pt>
                <c:pt idx="1">
                  <c:v>10.1</c:v>
                </c:pt>
                <c:pt idx="2">
                  <c:v>25.2</c:v>
                </c:pt>
                <c:pt idx="3">
                  <c:v>25.7</c:v>
                </c:pt>
                <c:pt idx="4">
                  <c:v>20.2</c:v>
                </c:pt>
                <c:pt idx="5">
                  <c:v>13.1</c:v>
                </c:pt>
              </c:numCache>
            </c:numRef>
          </c:val>
        </c:ser>
        <c:axId val="111172992"/>
        <c:axId val="111183360"/>
      </c:barChart>
      <c:catAx>
        <c:axId val="111172992"/>
        <c:scaling>
          <c:orientation val="minMax"/>
        </c:scaling>
        <c:axPos val="b"/>
        <c:title>
          <c:tx>
            <c:rich>
              <a:bodyPr/>
              <a:lstStyle/>
              <a:p>
                <a:pPr>
                  <a:defRPr/>
                </a:pPr>
                <a:r>
                  <a:rPr lang="en-AU"/>
                  <a:t>Bands</a:t>
                </a:r>
              </a:p>
            </c:rich>
          </c:tx>
          <c:layout>
            <c:manualLayout>
              <c:xMode val="edge"/>
              <c:yMode val="edge"/>
              <c:x val="0.45248008089357755"/>
              <c:y val="0.76098005700069982"/>
            </c:manualLayout>
          </c:layout>
        </c:title>
        <c:numFmt formatCode="General" sourceLinked="1"/>
        <c:tickLblPos val="nextTo"/>
        <c:txPr>
          <a:bodyPr/>
          <a:lstStyle/>
          <a:p>
            <a:pPr>
              <a:defRPr b="0"/>
            </a:pPr>
            <a:endParaRPr lang="en-US"/>
          </a:p>
        </c:txPr>
        <c:crossAx val="111183360"/>
        <c:crosses val="autoZero"/>
        <c:auto val="1"/>
        <c:lblAlgn val="ctr"/>
        <c:lblOffset val="100"/>
      </c:catAx>
      <c:valAx>
        <c:axId val="111183360"/>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111172992"/>
        <c:crosses val="autoZero"/>
        <c:crossBetween val="between"/>
        <c:majorUnit val="10"/>
      </c:valAx>
    </c:plotArea>
    <c:legend>
      <c:legendPos val="b"/>
      <c:layout>
        <c:manualLayout>
          <c:xMode val="edge"/>
          <c:yMode val="edge"/>
          <c:x val="0.20301041359039407"/>
          <c:y val="0.81730385038345121"/>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5 Grammar &amp; Punctuation</a:t>
            </a:r>
          </a:p>
        </c:rich>
      </c:tx>
      <c:spPr>
        <a:ln w="0"/>
      </c:spPr>
    </c:title>
    <c:plotArea>
      <c:layout>
        <c:manualLayout>
          <c:layoutTarget val="inner"/>
          <c:xMode val="edge"/>
          <c:yMode val="edge"/>
          <c:x val="0.20106736918392804"/>
          <c:y val="0.15769320247953494"/>
          <c:w val="0.77078564444594622"/>
          <c:h val="0.53933584899283049"/>
        </c:manualLayout>
      </c:layout>
      <c:barChart>
        <c:barDir val="col"/>
        <c:grouping val="clustered"/>
        <c:ser>
          <c:idx val="0"/>
          <c:order val="0"/>
          <c:tx>
            <c:strRef>
              <c:f>'Tables and Graphs'!$BI$23:$BK$23</c:f>
              <c:strCache>
                <c:ptCount val="1"/>
                <c:pt idx="0">
                  <c:v>Percentage in Band</c:v>
                </c:pt>
              </c:strCache>
            </c:strRef>
          </c:tx>
          <c:spPr>
            <a:solidFill>
              <a:schemeClr val="accent2">
                <a:lumMod val="60000"/>
                <a:lumOff val="40000"/>
              </a:schemeClr>
            </a:solidFill>
            <a:ln>
              <a:solidFill>
                <a:sysClr val="windowText" lastClr="000000"/>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Graphs'!$BL$27:$BQ$27</c:f>
              <c:numCache>
                <c:formatCode>0.0</c:formatCode>
                <c:ptCount val="6"/>
                <c:pt idx="0">
                  <c:v>5.8823529411764675</c:v>
                </c:pt>
                <c:pt idx="1">
                  <c:v>5.8823529411764675</c:v>
                </c:pt>
                <c:pt idx="2">
                  <c:v>29.411764705882355</c:v>
                </c:pt>
                <c:pt idx="3">
                  <c:v>20.588235294117503</c:v>
                </c:pt>
                <c:pt idx="4">
                  <c:v>17.647058823529431</c:v>
                </c:pt>
                <c:pt idx="5">
                  <c:v>20.588235294117503</c:v>
                </c:pt>
              </c:numCache>
            </c:numRef>
          </c:val>
        </c:ser>
        <c:ser>
          <c:idx val="1"/>
          <c:order val="1"/>
          <c:tx>
            <c:strRef>
              <c:f>'Tables and Graphs'!$BI$24:$BK$24</c:f>
              <c:strCache>
                <c:ptCount val="1"/>
                <c:pt idx="0">
                  <c:v>School Average 2008-2011</c:v>
                </c:pt>
              </c:strCache>
            </c:strRef>
          </c:tx>
          <c:spPr>
            <a:solidFill>
              <a:srgbClr val="8064A2">
                <a:lumMod val="60000"/>
                <a:lumOff val="40000"/>
              </a:srgbClr>
            </a:solidFill>
            <a:ln>
              <a:solidFill>
                <a:prstClr val="black"/>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Graphs'!$BL$28:$BQ$28</c:f>
              <c:numCache>
                <c:formatCode>0.0</c:formatCode>
                <c:ptCount val="6"/>
                <c:pt idx="0">
                  <c:v>5.6962025316455698</c:v>
                </c:pt>
                <c:pt idx="1">
                  <c:v>8.2278481012657689</c:v>
                </c:pt>
                <c:pt idx="2">
                  <c:v>22.78481012658229</c:v>
                </c:pt>
                <c:pt idx="3">
                  <c:v>22.78481012658229</c:v>
                </c:pt>
                <c:pt idx="4">
                  <c:v>24.683544303797429</c:v>
                </c:pt>
                <c:pt idx="5">
                  <c:v>15.822784810126727</c:v>
                </c:pt>
              </c:numCache>
            </c:numRef>
          </c:val>
        </c:ser>
        <c:ser>
          <c:idx val="2"/>
          <c:order val="2"/>
          <c:tx>
            <c:strRef>
              <c:f>'Tables and Graphs'!$BI$25:$BK$25</c:f>
              <c:strCache>
                <c:ptCount val="1"/>
                <c:pt idx="0">
                  <c:v>SSG % in Band 2011</c:v>
                </c:pt>
              </c:strCache>
            </c:strRef>
          </c:tx>
          <c:spPr>
            <a:solidFill>
              <a:schemeClr val="accent3">
                <a:lumMod val="60000"/>
                <a:lumOff val="40000"/>
              </a:schemeClr>
            </a:solidFill>
            <a:ln>
              <a:solidFill>
                <a:sysClr val="windowText" lastClr="000000"/>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Graphs'!$BL$25:$BQ$25</c:f>
              <c:numCache>
                <c:formatCode>0.0</c:formatCode>
                <c:ptCount val="6"/>
                <c:pt idx="0">
                  <c:v>8.6</c:v>
                </c:pt>
                <c:pt idx="1">
                  <c:v>9.5</c:v>
                </c:pt>
                <c:pt idx="2">
                  <c:v>25.4</c:v>
                </c:pt>
                <c:pt idx="3">
                  <c:v>23.5</c:v>
                </c:pt>
                <c:pt idx="4">
                  <c:v>21.1</c:v>
                </c:pt>
                <c:pt idx="5">
                  <c:v>11.8</c:v>
                </c:pt>
              </c:numCache>
            </c:numRef>
          </c:val>
        </c:ser>
        <c:ser>
          <c:idx val="3"/>
          <c:order val="3"/>
          <c:tx>
            <c:strRef>
              <c:f>'Tables and Graphs'!$BI$26:$BK$26</c:f>
              <c:strCache>
                <c:ptCount val="1"/>
                <c:pt idx="0">
                  <c:v>State DEC % in Band 2011</c:v>
                </c:pt>
              </c:strCache>
            </c:strRef>
          </c:tx>
          <c:spPr>
            <a:solidFill>
              <a:schemeClr val="tx2">
                <a:lumMod val="40000"/>
                <a:lumOff val="60000"/>
              </a:schemeClr>
            </a:solidFill>
            <a:ln>
              <a:solidFill>
                <a:sysClr val="windowText" lastClr="000000"/>
              </a:solidFill>
            </a:ln>
          </c:spPr>
          <c:cat>
            <c:numRef>
              <c:f>'Tables and Graphs'!$BL$21:$BQ$21</c:f>
              <c:numCache>
                <c:formatCode>General</c:formatCode>
                <c:ptCount val="6"/>
                <c:pt idx="0">
                  <c:v>3</c:v>
                </c:pt>
                <c:pt idx="1">
                  <c:v>4</c:v>
                </c:pt>
                <c:pt idx="2">
                  <c:v>5</c:v>
                </c:pt>
                <c:pt idx="3">
                  <c:v>6</c:v>
                </c:pt>
                <c:pt idx="4">
                  <c:v>7</c:v>
                </c:pt>
                <c:pt idx="5">
                  <c:v>8</c:v>
                </c:pt>
              </c:numCache>
            </c:numRef>
          </c:cat>
          <c:val>
            <c:numRef>
              <c:f>'Tables and Graphs'!$BL$26:$BQ$26</c:f>
              <c:numCache>
                <c:formatCode>0.0</c:formatCode>
                <c:ptCount val="6"/>
                <c:pt idx="0">
                  <c:v>8</c:v>
                </c:pt>
                <c:pt idx="1">
                  <c:v>10</c:v>
                </c:pt>
                <c:pt idx="2">
                  <c:v>22.1</c:v>
                </c:pt>
                <c:pt idx="3">
                  <c:v>22.4</c:v>
                </c:pt>
                <c:pt idx="4">
                  <c:v>22.6</c:v>
                </c:pt>
                <c:pt idx="5">
                  <c:v>14.8</c:v>
                </c:pt>
              </c:numCache>
            </c:numRef>
          </c:val>
        </c:ser>
        <c:axId val="111239168"/>
        <c:axId val="111241088"/>
      </c:barChart>
      <c:catAx>
        <c:axId val="111239168"/>
        <c:scaling>
          <c:orientation val="minMax"/>
        </c:scaling>
        <c:axPos val="b"/>
        <c:title>
          <c:tx>
            <c:rich>
              <a:bodyPr/>
              <a:lstStyle/>
              <a:p>
                <a:pPr>
                  <a:defRPr/>
                </a:pPr>
                <a:r>
                  <a:rPr lang="en-AU"/>
                  <a:t>Bands</a:t>
                </a:r>
              </a:p>
            </c:rich>
          </c:tx>
          <c:layout>
            <c:manualLayout>
              <c:xMode val="edge"/>
              <c:yMode val="edge"/>
              <c:x val="0.45248008526356015"/>
              <c:y val="0.75714741837084476"/>
            </c:manualLayout>
          </c:layout>
        </c:title>
        <c:numFmt formatCode="General" sourceLinked="1"/>
        <c:tickLblPos val="nextTo"/>
        <c:txPr>
          <a:bodyPr/>
          <a:lstStyle/>
          <a:p>
            <a:pPr>
              <a:defRPr b="0"/>
            </a:pPr>
            <a:endParaRPr lang="en-US"/>
          </a:p>
        </c:txPr>
        <c:crossAx val="111241088"/>
        <c:crosses val="autoZero"/>
        <c:auto val="1"/>
        <c:lblAlgn val="ctr"/>
        <c:lblOffset val="100"/>
      </c:catAx>
      <c:valAx>
        <c:axId val="111241088"/>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111239168"/>
        <c:crosses val="autoZero"/>
        <c:crossBetween val="between"/>
        <c:majorUnit val="10"/>
      </c:valAx>
    </c:plotArea>
    <c:legend>
      <c:legendPos val="b"/>
      <c:layout>
        <c:manualLayout>
          <c:xMode val="edge"/>
          <c:yMode val="edge"/>
          <c:x val="0.20301023991719627"/>
          <c:y val="0.80980726957995486"/>
          <c:w val="0.69172082362945275"/>
          <c:h val="0.18702097359442318"/>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5 Numeracy</a:t>
            </a:r>
          </a:p>
        </c:rich>
      </c:tx>
      <c:spPr>
        <a:ln w="0"/>
      </c:spPr>
    </c:title>
    <c:plotArea>
      <c:layout>
        <c:manualLayout>
          <c:layoutTarget val="inner"/>
          <c:xMode val="edge"/>
          <c:yMode val="edge"/>
          <c:x val="0.20106736918392756"/>
          <c:y val="0.15769320247953494"/>
          <c:w val="0.77078564444594466"/>
          <c:h val="0.53550321036297199"/>
        </c:manualLayout>
      </c:layout>
      <c:barChart>
        <c:barDir val="col"/>
        <c:grouping val="clustered"/>
        <c:ser>
          <c:idx val="0"/>
          <c:order val="0"/>
          <c:tx>
            <c:strRef>
              <c:f>'Tables and Graphs'!$BU$10:$BW$10</c:f>
              <c:strCache>
                <c:ptCount val="1"/>
                <c:pt idx="0">
                  <c:v>Percentage in Band</c:v>
                </c:pt>
              </c:strCache>
            </c:strRef>
          </c:tx>
          <c:spPr>
            <a:solidFill>
              <a:schemeClr val="accent2">
                <a:lumMod val="60000"/>
                <a:lumOff val="4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Graphs'!$BX$14:$CC$14</c:f>
              <c:numCache>
                <c:formatCode>0.0</c:formatCode>
                <c:ptCount val="6"/>
                <c:pt idx="0">
                  <c:v>5.8823529411764675</c:v>
                </c:pt>
                <c:pt idx="1">
                  <c:v>8.8235294117647065</c:v>
                </c:pt>
                <c:pt idx="2">
                  <c:v>20.588235294117563</c:v>
                </c:pt>
                <c:pt idx="3">
                  <c:v>38.235294117647044</c:v>
                </c:pt>
                <c:pt idx="4">
                  <c:v>11.76470588235294</c:v>
                </c:pt>
                <c:pt idx="5">
                  <c:v>14.705882352941179</c:v>
                </c:pt>
              </c:numCache>
            </c:numRef>
          </c:val>
        </c:ser>
        <c:ser>
          <c:idx val="1"/>
          <c:order val="1"/>
          <c:tx>
            <c:strRef>
              <c:f>'Tables and Graphs'!$BU$11:$BW$11</c:f>
              <c:strCache>
                <c:ptCount val="1"/>
                <c:pt idx="0">
                  <c:v>School Average 2008-2011</c:v>
                </c:pt>
              </c:strCache>
            </c:strRef>
          </c:tx>
          <c:spPr>
            <a:solidFill>
              <a:schemeClr val="accent4">
                <a:lumMod val="60000"/>
                <a:lumOff val="4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Graphs'!$BX$15:$CC$15</c:f>
              <c:numCache>
                <c:formatCode>0.0</c:formatCode>
                <c:ptCount val="6"/>
                <c:pt idx="0">
                  <c:v>4.4585987261146514</c:v>
                </c:pt>
                <c:pt idx="1">
                  <c:v>7.6433121019108334</c:v>
                </c:pt>
                <c:pt idx="2">
                  <c:v>22.292993630573125</c:v>
                </c:pt>
                <c:pt idx="3">
                  <c:v>36.30573248407643</c:v>
                </c:pt>
                <c:pt idx="4">
                  <c:v>17.197452229299365</c:v>
                </c:pt>
                <c:pt idx="5">
                  <c:v>12.101910828025478</c:v>
                </c:pt>
              </c:numCache>
            </c:numRef>
          </c:val>
        </c:ser>
        <c:ser>
          <c:idx val="2"/>
          <c:order val="2"/>
          <c:tx>
            <c:strRef>
              <c:f>'Tables and Graphs'!$BU$12:$BW$12</c:f>
              <c:strCache>
                <c:ptCount val="1"/>
                <c:pt idx="0">
                  <c:v>SSG % in Band 2011</c:v>
                </c:pt>
              </c:strCache>
            </c:strRef>
          </c:tx>
          <c:spPr>
            <a:solidFill>
              <a:schemeClr val="accent3">
                <a:lumMod val="60000"/>
                <a:lumOff val="4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Graphs'!$BX$12:$CC$12</c:f>
              <c:numCache>
                <c:formatCode>0.0</c:formatCode>
                <c:ptCount val="6"/>
                <c:pt idx="0">
                  <c:v>4.9000000000000004</c:v>
                </c:pt>
                <c:pt idx="1">
                  <c:v>11.1</c:v>
                </c:pt>
                <c:pt idx="2">
                  <c:v>31.4</c:v>
                </c:pt>
                <c:pt idx="3">
                  <c:v>31.2</c:v>
                </c:pt>
                <c:pt idx="4">
                  <c:v>12.5</c:v>
                </c:pt>
                <c:pt idx="5">
                  <c:v>8.8000000000000007</c:v>
                </c:pt>
              </c:numCache>
            </c:numRef>
          </c:val>
        </c:ser>
        <c:ser>
          <c:idx val="3"/>
          <c:order val="3"/>
          <c:tx>
            <c:strRef>
              <c:f>'Tables and Graphs'!$BU$13:$BW$13</c:f>
              <c:strCache>
                <c:ptCount val="1"/>
                <c:pt idx="0">
                  <c:v>State DEC % in Band 2011</c:v>
                </c:pt>
              </c:strCache>
            </c:strRef>
          </c:tx>
          <c:spPr>
            <a:solidFill>
              <a:schemeClr val="tx2">
                <a:lumMod val="40000"/>
                <a:lumOff val="60000"/>
              </a:schemeClr>
            </a:solidFill>
            <a:ln>
              <a:solidFill>
                <a:sysClr val="windowText" lastClr="000000"/>
              </a:solidFill>
            </a:ln>
          </c:spPr>
          <c:cat>
            <c:numRef>
              <c:f>'Tables and Graphs'!$BX$8:$CC$8</c:f>
              <c:numCache>
                <c:formatCode>General</c:formatCode>
                <c:ptCount val="6"/>
                <c:pt idx="0">
                  <c:v>3</c:v>
                </c:pt>
                <c:pt idx="1">
                  <c:v>4</c:v>
                </c:pt>
                <c:pt idx="2">
                  <c:v>5</c:v>
                </c:pt>
                <c:pt idx="3">
                  <c:v>6</c:v>
                </c:pt>
                <c:pt idx="4">
                  <c:v>7</c:v>
                </c:pt>
                <c:pt idx="5">
                  <c:v>8</c:v>
                </c:pt>
              </c:numCache>
            </c:numRef>
          </c:cat>
          <c:val>
            <c:numRef>
              <c:f>'Tables and Graphs'!$BX$13:$CC$13</c:f>
              <c:numCache>
                <c:formatCode>0.0</c:formatCode>
                <c:ptCount val="6"/>
                <c:pt idx="0">
                  <c:v>5</c:v>
                </c:pt>
                <c:pt idx="1">
                  <c:v>11.3</c:v>
                </c:pt>
                <c:pt idx="2">
                  <c:v>28.8</c:v>
                </c:pt>
                <c:pt idx="3">
                  <c:v>27.6</c:v>
                </c:pt>
                <c:pt idx="4">
                  <c:v>12.4</c:v>
                </c:pt>
                <c:pt idx="5">
                  <c:v>14.8</c:v>
                </c:pt>
              </c:numCache>
            </c:numRef>
          </c:val>
        </c:ser>
        <c:axId val="111272320"/>
        <c:axId val="111274240"/>
      </c:barChart>
      <c:catAx>
        <c:axId val="111272320"/>
        <c:scaling>
          <c:orientation val="minMax"/>
        </c:scaling>
        <c:axPos val="b"/>
        <c:title>
          <c:tx>
            <c:rich>
              <a:bodyPr/>
              <a:lstStyle/>
              <a:p>
                <a:pPr>
                  <a:defRPr/>
                </a:pPr>
                <a:r>
                  <a:rPr lang="en-AU"/>
                  <a:t>Bands</a:t>
                </a:r>
              </a:p>
            </c:rich>
          </c:tx>
          <c:layout>
            <c:manualLayout>
              <c:xMode val="edge"/>
              <c:yMode val="edge"/>
              <c:x val="0.45248012837258167"/>
              <c:y val="0.76098005700069782"/>
            </c:manualLayout>
          </c:layout>
        </c:title>
        <c:numFmt formatCode="General" sourceLinked="1"/>
        <c:tickLblPos val="nextTo"/>
        <c:txPr>
          <a:bodyPr/>
          <a:lstStyle/>
          <a:p>
            <a:pPr>
              <a:defRPr b="0"/>
            </a:pPr>
            <a:endParaRPr lang="en-US"/>
          </a:p>
        </c:txPr>
        <c:crossAx val="111274240"/>
        <c:crosses val="autoZero"/>
        <c:auto val="1"/>
        <c:lblAlgn val="ctr"/>
        <c:lblOffset val="100"/>
      </c:catAx>
      <c:valAx>
        <c:axId val="111274240"/>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111272320"/>
        <c:crosses val="autoZero"/>
        <c:crossBetween val="between"/>
        <c:majorUnit val="10"/>
      </c:valAx>
    </c:plotArea>
    <c:legend>
      <c:legendPos val="b"/>
      <c:layout>
        <c:manualLayout>
          <c:xMode val="edge"/>
          <c:yMode val="edge"/>
          <c:x val="0.20301041359039315"/>
          <c:y val="0.81730385038344966"/>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sz="1000" baseline="0"/>
            </a:pPr>
            <a:r>
              <a:rPr lang="en-AU" sz="1000" baseline="0"/>
              <a:t>Average progress in  Reading between </a:t>
            </a:r>
          </a:p>
          <a:p>
            <a:pPr>
              <a:defRPr sz="1000" baseline="0"/>
            </a:pPr>
            <a:r>
              <a:rPr lang="en-AU" sz="1000" baseline="0"/>
              <a:t>Year 3 and 5</a:t>
            </a:r>
          </a:p>
        </c:rich>
      </c:tx>
    </c:title>
    <c:plotArea>
      <c:layout>
        <c:manualLayout>
          <c:layoutTarget val="inner"/>
          <c:xMode val="edge"/>
          <c:yMode val="edge"/>
          <c:x val="0.21109795612274049"/>
          <c:y val="0.28915888109207"/>
          <c:w val="0.73567628103419869"/>
          <c:h val="0.4680988398412928"/>
        </c:manualLayout>
      </c:layout>
      <c:barChart>
        <c:barDir val="col"/>
        <c:grouping val="clustered"/>
        <c:ser>
          <c:idx val="0"/>
          <c:order val="0"/>
          <c:tx>
            <c:strRef>
              <c:f>'Tables and Graphs'!$CG$10</c:f>
              <c:strCache>
                <c:ptCount val="1"/>
                <c:pt idx="0">
                  <c:v>School</c:v>
                </c:pt>
              </c:strCache>
            </c:strRef>
          </c:tx>
          <c:spPr>
            <a:solidFill>
              <a:schemeClr val="accent2">
                <a:lumMod val="60000"/>
                <a:lumOff val="40000"/>
              </a:schemeClr>
            </a:solidFill>
            <a:ln>
              <a:solidFill>
                <a:sysClr val="windowText" lastClr="000000"/>
              </a:solidFill>
            </a:ln>
          </c:spPr>
          <c:cat>
            <c:strRef>
              <c:f>'Tables and Graphs'!$CH$9:$CI$9</c:f>
              <c:strCache>
                <c:ptCount val="2"/>
                <c:pt idx="0">
                  <c:v>2008-2010</c:v>
                </c:pt>
                <c:pt idx="1">
                  <c:v>2009-2011</c:v>
                </c:pt>
              </c:strCache>
            </c:strRef>
          </c:cat>
          <c:val>
            <c:numRef>
              <c:f>'Tables and Graphs'!$CH$10:$CI$10</c:f>
              <c:numCache>
                <c:formatCode>0.0</c:formatCode>
                <c:ptCount val="2"/>
                <c:pt idx="0">
                  <c:v>106.43</c:v>
                </c:pt>
                <c:pt idx="1">
                  <c:v>98.16</c:v>
                </c:pt>
              </c:numCache>
            </c:numRef>
          </c:val>
        </c:ser>
        <c:ser>
          <c:idx val="1"/>
          <c:order val="1"/>
          <c:tx>
            <c:strRef>
              <c:f>'Tables and Graphs'!$CG$11</c:f>
              <c:strCache>
                <c:ptCount val="1"/>
                <c:pt idx="0">
                  <c:v>SSG</c:v>
                </c:pt>
              </c:strCache>
            </c:strRef>
          </c:tx>
          <c:spPr>
            <a:solidFill>
              <a:schemeClr val="accent3">
                <a:lumMod val="60000"/>
                <a:lumOff val="40000"/>
              </a:schemeClr>
            </a:solidFill>
            <a:ln>
              <a:solidFill>
                <a:schemeClr val="tx1"/>
              </a:solidFill>
            </a:ln>
          </c:spPr>
          <c:cat>
            <c:strRef>
              <c:f>'Tables and Graphs'!$CH$9:$CI$9</c:f>
              <c:strCache>
                <c:ptCount val="2"/>
                <c:pt idx="0">
                  <c:v>2008-2010</c:v>
                </c:pt>
                <c:pt idx="1">
                  <c:v>2009-2011</c:v>
                </c:pt>
              </c:strCache>
            </c:strRef>
          </c:cat>
          <c:val>
            <c:numRef>
              <c:f>'Tables and Graphs'!$CH$11:$CI$11</c:f>
              <c:numCache>
                <c:formatCode>0.0</c:formatCode>
                <c:ptCount val="2"/>
                <c:pt idx="0">
                  <c:v>83.5</c:v>
                </c:pt>
                <c:pt idx="1">
                  <c:v>75.900000000000006</c:v>
                </c:pt>
              </c:numCache>
            </c:numRef>
          </c:val>
        </c:ser>
        <c:ser>
          <c:idx val="2"/>
          <c:order val="2"/>
          <c:tx>
            <c:strRef>
              <c:f>'Tables and Graphs'!$CG$12</c:f>
              <c:strCache>
                <c:ptCount val="1"/>
                <c:pt idx="0">
                  <c:v>State DEC</c:v>
                </c:pt>
              </c:strCache>
            </c:strRef>
          </c:tx>
          <c:spPr>
            <a:solidFill>
              <a:schemeClr val="tx2">
                <a:lumMod val="40000"/>
                <a:lumOff val="60000"/>
              </a:schemeClr>
            </a:solidFill>
            <a:ln>
              <a:solidFill>
                <a:prstClr val="black"/>
              </a:solidFill>
            </a:ln>
          </c:spPr>
          <c:val>
            <c:numRef>
              <c:f>'Tables and Graphs'!$CH$12:$CI$12</c:f>
              <c:numCache>
                <c:formatCode>0.0</c:formatCode>
                <c:ptCount val="2"/>
                <c:pt idx="0">
                  <c:v>83.72</c:v>
                </c:pt>
                <c:pt idx="1">
                  <c:v>74.013000000000005</c:v>
                </c:pt>
              </c:numCache>
            </c:numRef>
          </c:val>
        </c:ser>
        <c:axId val="111316992"/>
        <c:axId val="111318528"/>
      </c:barChart>
      <c:catAx>
        <c:axId val="111316992"/>
        <c:scaling>
          <c:orientation val="minMax"/>
        </c:scaling>
        <c:axPos val="b"/>
        <c:tickLblPos val="nextTo"/>
        <c:txPr>
          <a:bodyPr/>
          <a:lstStyle/>
          <a:p>
            <a:pPr>
              <a:defRPr sz="900" b="1" baseline="0"/>
            </a:pPr>
            <a:endParaRPr lang="en-US"/>
          </a:p>
        </c:txPr>
        <c:crossAx val="111318528"/>
        <c:crosses val="autoZero"/>
        <c:auto val="1"/>
        <c:lblAlgn val="ctr"/>
        <c:lblOffset val="100"/>
      </c:catAx>
      <c:valAx>
        <c:axId val="111318528"/>
        <c:scaling>
          <c:orientation val="minMax"/>
          <c:min val="0"/>
        </c:scaling>
        <c:axPos val="l"/>
        <c:majorGridlines/>
        <c:title>
          <c:tx>
            <c:rich>
              <a:bodyPr rot="-5400000" vert="horz"/>
              <a:lstStyle/>
              <a:p>
                <a:pPr>
                  <a:defRPr/>
                </a:pPr>
                <a:r>
                  <a:rPr lang="en-AU"/>
                  <a:t>Progress</a:t>
                </a:r>
              </a:p>
            </c:rich>
          </c:tx>
          <c:layout>
            <c:manualLayout>
              <c:xMode val="edge"/>
              <c:yMode val="edge"/>
              <c:x val="5.2178423384130333E-2"/>
              <c:y val="0.38559243594283515"/>
            </c:manualLayout>
          </c:layout>
        </c:title>
        <c:numFmt formatCode="0" sourceLinked="0"/>
        <c:tickLblPos val="nextTo"/>
        <c:txPr>
          <a:bodyPr/>
          <a:lstStyle/>
          <a:p>
            <a:pPr>
              <a:defRPr sz="900" b="0" baseline="0"/>
            </a:pPr>
            <a:endParaRPr lang="en-US"/>
          </a:p>
        </c:txPr>
        <c:crossAx val="111316992"/>
        <c:crosses val="autoZero"/>
        <c:crossBetween val="between"/>
      </c:valAx>
    </c:plotArea>
    <c:legend>
      <c:legendPos val="b"/>
      <c:layout>
        <c:manualLayout>
          <c:xMode val="edge"/>
          <c:yMode val="edge"/>
          <c:x val="0.16143032185404024"/>
          <c:y val="0.86930861200256793"/>
          <c:w val="0.67713935629192679"/>
          <c:h val="0.117676205838694"/>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sz="1000" baseline="0"/>
            </a:pPr>
            <a:r>
              <a:rPr lang="en-AU" sz="1000" baseline="0"/>
              <a:t>Average progress in Spelling between </a:t>
            </a:r>
          </a:p>
          <a:p>
            <a:pPr>
              <a:defRPr sz="1000" baseline="0"/>
            </a:pPr>
            <a:r>
              <a:rPr lang="en-AU" sz="1000" baseline="0"/>
              <a:t>Year 3 and 5</a:t>
            </a:r>
          </a:p>
        </c:rich>
      </c:tx>
    </c:title>
    <c:plotArea>
      <c:layout>
        <c:manualLayout>
          <c:layoutTarget val="inner"/>
          <c:xMode val="edge"/>
          <c:yMode val="edge"/>
          <c:x val="0.25390540468155764"/>
          <c:y val="0.28900226792228079"/>
          <c:w val="0.69243594550681153"/>
          <c:h val="0.45537173736373782"/>
        </c:manualLayout>
      </c:layout>
      <c:barChart>
        <c:barDir val="col"/>
        <c:grouping val="clustered"/>
        <c:ser>
          <c:idx val="0"/>
          <c:order val="0"/>
          <c:tx>
            <c:strRef>
              <c:f>'Tables and Graphs'!$CK$10</c:f>
              <c:strCache>
                <c:ptCount val="1"/>
                <c:pt idx="0">
                  <c:v>School</c:v>
                </c:pt>
              </c:strCache>
            </c:strRef>
          </c:tx>
          <c:spPr>
            <a:solidFill>
              <a:srgbClr val="C0504D">
                <a:lumMod val="60000"/>
                <a:lumOff val="40000"/>
              </a:srgbClr>
            </a:solidFill>
            <a:ln>
              <a:solidFill>
                <a:sysClr val="windowText" lastClr="000000"/>
              </a:solidFill>
            </a:ln>
          </c:spPr>
          <c:cat>
            <c:strRef>
              <c:f>'Tables and Graphs'!$CH$9:$CI$9</c:f>
              <c:strCache>
                <c:ptCount val="2"/>
                <c:pt idx="0">
                  <c:v>2008-2010</c:v>
                </c:pt>
                <c:pt idx="1">
                  <c:v>2009-2011</c:v>
                </c:pt>
              </c:strCache>
            </c:strRef>
          </c:cat>
          <c:val>
            <c:numRef>
              <c:f>'Tables and Graphs'!$CL$10:$CM$10</c:f>
              <c:numCache>
                <c:formatCode>0.0</c:formatCode>
                <c:ptCount val="2"/>
                <c:pt idx="0">
                  <c:v>86.11999999999999</c:v>
                </c:pt>
                <c:pt idx="1">
                  <c:v>81.179999999999978</c:v>
                </c:pt>
              </c:numCache>
            </c:numRef>
          </c:val>
        </c:ser>
        <c:ser>
          <c:idx val="1"/>
          <c:order val="1"/>
          <c:tx>
            <c:strRef>
              <c:f>'Tables and Graphs'!$CK$11</c:f>
              <c:strCache>
                <c:ptCount val="1"/>
                <c:pt idx="0">
                  <c:v>SSG</c:v>
                </c:pt>
              </c:strCache>
            </c:strRef>
          </c:tx>
          <c:spPr>
            <a:solidFill>
              <a:schemeClr val="accent3">
                <a:lumMod val="60000"/>
                <a:lumOff val="40000"/>
              </a:schemeClr>
            </a:solidFill>
            <a:ln>
              <a:solidFill>
                <a:schemeClr val="tx1"/>
              </a:solidFill>
            </a:ln>
          </c:spPr>
          <c:cat>
            <c:strRef>
              <c:f>'Tables and Graphs'!$CH$9:$CI$9</c:f>
              <c:strCache>
                <c:ptCount val="2"/>
                <c:pt idx="0">
                  <c:v>2008-2010</c:v>
                </c:pt>
                <c:pt idx="1">
                  <c:v>2009-2011</c:v>
                </c:pt>
              </c:strCache>
            </c:strRef>
          </c:cat>
          <c:val>
            <c:numRef>
              <c:f>'Tables and Graphs'!$CL$11:$CM$11</c:f>
              <c:numCache>
                <c:formatCode>0.0</c:formatCode>
                <c:ptCount val="2"/>
                <c:pt idx="0">
                  <c:v>85.4</c:v>
                </c:pt>
                <c:pt idx="1">
                  <c:v>74.599999999999994</c:v>
                </c:pt>
              </c:numCache>
            </c:numRef>
          </c:val>
        </c:ser>
        <c:ser>
          <c:idx val="2"/>
          <c:order val="2"/>
          <c:tx>
            <c:strRef>
              <c:f>'Tables and Graphs'!$CK$12</c:f>
              <c:strCache>
                <c:ptCount val="1"/>
                <c:pt idx="0">
                  <c:v>State DEC</c:v>
                </c:pt>
              </c:strCache>
            </c:strRef>
          </c:tx>
          <c:spPr>
            <a:solidFill>
              <a:schemeClr val="tx2">
                <a:lumMod val="40000"/>
                <a:lumOff val="60000"/>
              </a:schemeClr>
            </a:solidFill>
            <a:ln>
              <a:solidFill>
                <a:prstClr val="black"/>
              </a:solidFill>
            </a:ln>
          </c:spPr>
          <c:val>
            <c:numRef>
              <c:f>'Tables and Graphs'!$CL$12:$CM$12</c:f>
              <c:numCache>
                <c:formatCode>0.0</c:formatCode>
                <c:ptCount val="2"/>
                <c:pt idx="0">
                  <c:v>84.516999999999996</c:v>
                </c:pt>
                <c:pt idx="1">
                  <c:v>75.364000000000004</c:v>
                </c:pt>
              </c:numCache>
            </c:numRef>
          </c:val>
        </c:ser>
        <c:axId val="111336448"/>
        <c:axId val="111346432"/>
      </c:barChart>
      <c:catAx>
        <c:axId val="111336448"/>
        <c:scaling>
          <c:orientation val="minMax"/>
        </c:scaling>
        <c:axPos val="b"/>
        <c:tickLblPos val="nextTo"/>
        <c:txPr>
          <a:bodyPr/>
          <a:lstStyle/>
          <a:p>
            <a:pPr>
              <a:defRPr sz="900" b="1" baseline="0"/>
            </a:pPr>
            <a:endParaRPr lang="en-US"/>
          </a:p>
        </c:txPr>
        <c:crossAx val="111346432"/>
        <c:crosses val="autoZero"/>
        <c:auto val="1"/>
        <c:lblAlgn val="ctr"/>
        <c:lblOffset val="100"/>
      </c:catAx>
      <c:valAx>
        <c:axId val="111346432"/>
        <c:scaling>
          <c:orientation val="minMax"/>
          <c:min val="0"/>
        </c:scaling>
        <c:axPos val="l"/>
        <c:majorGridlines/>
        <c:title>
          <c:tx>
            <c:rich>
              <a:bodyPr rot="-5400000" vert="horz"/>
              <a:lstStyle/>
              <a:p>
                <a:pPr>
                  <a:defRPr/>
                </a:pPr>
                <a:r>
                  <a:rPr lang="en-AU"/>
                  <a:t>Progress</a:t>
                </a:r>
              </a:p>
            </c:rich>
          </c:tx>
          <c:layout>
            <c:manualLayout>
              <c:xMode val="edge"/>
              <c:yMode val="edge"/>
              <c:x val="5.3569018158444483E-2"/>
              <c:y val="0.37914786544212481"/>
            </c:manualLayout>
          </c:layout>
        </c:title>
        <c:numFmt formatCode="0" sourceLinked="0"/>
        <c:tickLblPos val="nextTo"/>
        <c:txPr>
          <a:bodyPr/>
          <a:lstStyle/>
          <a:p>
            <a:pPr>
              <a:defRPr sz="900" b="0" baseline="0"/>
            </a:pPr>
            <a:endParaRPr lang="en-US"/>
          </a:p>
        </c:txPr>
        <c:crossAx val="111336448"/>
        <c:crosses val="autoZero"/>
        <c:crossBetween val="between"/>
      </c:valAx>
    </c:plotArea>
    <c:legend>
      <c:legendPos val="b"/>
      <c:layout>
        <c:manualLayout>
          <c:xMode val="edge"/>
          <c:yMode val="edge"/>
          <c:x val="0.15867754945265988"/>
          <c:y val="0.8628009506212031"/>
          <c:w val="0.68264490109468734"/>
          <c:h val="0.11767626613704071"/>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aseline="0"/>
            </a:pPr>
            <a:r>
              <a:rPr lang="en-AU" sz="1000" baseline="0"/>
              <a:t>Average progress in Grammar &amp; Punctuation between Year 3 and 5</a:t>
            </a:r>
          </a:p>
        </c:rich>
      </c:tx>
    </c:title>
    <c:plotArea>
      <c:layout>
        <c:manualLayout>
          <c:layoutTarget val="inner"/>
          <c:xMode val="edge"/>
          <c:yMode val="edge"/>
          <c:x val="0.24029996250468691"/>
          <c:y val="0.28900226792228079"/>
          <c:w val="0.70604138768369185"/>
          <c:h val="0.46187933177766527"/>
        </c:manualLayout>
      </c:layout>
      <c:barChart>
        <c:barDir val="col"/>
        <c:grouping val="clustered"/>
        <c:ser>
          <c:idx val="0"/>
          <c:order val="0"/>
          <c:tx>
            <c:strRef>
              <c:f>'Tables and Graphs'!$CK$28</c:f>
              <c:strCache>
                <c:ptCount val="1"/>
                <c:pt idx="0">
                  <c:v>School</c:v>
                </c:pt>
              </c:strCache>
            </c:strRef>
          </c:tx>
          <c:spPr>
            <a:solidFill>
              <a:srgbClr val="C0504D">
                <a:lumMod val="60000"/>
                <a:lumOff val="40000"/>
              </a:srgbClr>
            </a:solidFill>
            <a:ln>
              <a:solidFill>
                <a:sysClr val="windowText" lastClr="000000"/>
              </a:solidFill>
            </a:ln>
          </c:spPr>
          <c:cat>
            <c:strRef>
              <c:f>'Tables and Graphs'!$CH$9:$CI$9</c:f>
              <c:strCache>
                <c:ptCount val="2"/>
                <c:pt idx="0">
                  <c:v>2008-2010</c:v>
                </c:pt>
                <c:pt idx="1">
                  <c:v>2009-2011</c:v>
                </c:pt>
              </c:strCache>
            </c:strRef>
          </c:cat>
          <c:val>
            <c:numRef>
              <c:f>'Tables and Graphs'!$CL$28:$CM$28</c:f>
              <c:numCache>
                <c:formatCode>0.0</c:formatCode>
                <c:ptCount val="2"/>
                <c:pt idx="0">
                  <c:v>146.91999999999999</c:v>
                </c:pt>
                <c:pt idx="1">
                  <c:v>94.82</c:v>
                </c:pt>
              </c:numCache>
            </c:numRef>
          </c:val>
        </c:ser>
        <c:ser>
          <c:idx val="1"/>
          <c:order val="1"/>
          <c:tx>
            <c:strRef>
              <c:f>'Tables and Graphs'!$CK$29</c:f>
              <c:strCache>
                <c:ptCount val="1"/>
                <c:pt idx="0">
                  <c:v>SSG</c:v>
                </c:pt>
              </c:strCache>
            </c:strRef>
          </c:tx>
          <c:spPr>
            <a:solidFill>
              <a:schemeClr val="accent3">
                <a:lumMod val="60000"/>
                <a:lumOff val="40000"/>
              </a:schemeClr>
            </a:solidFill>
            <a:ln>
              <a:solidFill>
                <a:schemeClr val="tx1"/>
              </a:solidFill>
            </a:ln>
          </c:spPr>
          <c:cat>
            <c:strRef>
              <c:f>'Tables and Graphs'!$CH$9:$CI$9</c:f>
              <c:strCache>
                <c:ptCount val="2"/>
                <c:pt idx="0">
                  <c:v>2008-2010</c:v>
                </c:pt>
                <c:pt idx="1">
                  <c:v>2009-2011</c:v>
                </c:pt>
              </c:strCache>
            </c:strRef>
          </c:cat>
          <c:val>
            <c:numRef>
              <c:f>'Tables and Graphs'!$CL$29:$CM$29</c:f>
              <c:numCache>
                <c:formatCode>0.0</c:formatCode>
                <c:ptCount val="2"/>
                <c:pt idx="0">
                  <c:v>93.2</c:v>
                </c:pt>
                <c:pt idx="1">
                  <c:v>78.2</c:v>
                </c:pt>
              </c:numCache>
            </c:numRef>
          </c:val>
        </c:ser>
        <c:ser>
          <c:idx val="2"/>
          <c:order val="2"/>
          <c:tx>
            <c:strRef>
              <c:f>'Tables and Graphs'!$CK$30</c:f>
              <c:strCache>
                <c:ptCount val="1"/>
                <c:pt idx="0">
                  <c:v>State DEC</c:v>
                </c:pt>
              </c:strCache>
            </c:strRef>
          </c:tx>
          <c:spPr>
            <a:solidFill>
              <a:schemeClr val="tx2">
                <a:lumMod val="40000"/>
                <a:lumOff val="60000"/>
              </a:schemeClr>
            </a:solidFill>
            <a:ln>
              <a:solidFill>
                <a:prstClr val="black"/>
              </a:solidFill>
            </a:ln>
          </c:spPr>
          <c:val>
            <c:numRef>
              <c:f>'Tables and Graphs'!$CL$30:$CM$30</c:f>
              <c:numCache>
                <c:formatCode>0.0</c:formatCode>
                <c:ptCount val="2"/>
                <c:pt idx="0">
                  <c:v>96.584000000000003</c:v>
                </c:pt>
                <c:pt idx="1">
                  <c:v>82.655999999999949</c:v>
                </c:pt>
              </c:numCache>
            </c:numRef>
          </c:val>
        </c:ser>
        <c:axId val="111384832"/>
        <c:axId val="111394816"/>
      </c:barChart>
      <c:catAx>
        <c:axId val="111384832"/>
        <c:scaling>
          <c:orientation val="minMax"/>
        </c:scaling>
        <c:axPos val="b"/>
        <c:tickLblPos val="nextTo"/>
        <c:txPr>
          <a:bodyPr/>
          <a:lstStyle/>
          <a:p>
            <a:pPr>
              <a:defRPr sz="900" b="1" baseline="0"/>
            </a:pPr>
            <a:endParaRPr lang="en-US"/>
          </a:p>
        </c:txPr>
        <c:crossAx val="111394816"/>
        <c:crosses val="autoZero"/>
        <c:auto val="1"/>
        <c:lblAlgn val="ctr"/>
        <c:lblOffset val="100"/>
      </c:catAx>
      <c:valAx>
        <c:axId val="111394816"/>
        <c:scaling>
          <c:orientation val="minMax"/>
          <c:min val="0"/>
        </c:scaling>
        <c:axPos val="l"/>
        <c:majorGridlines/>
        <c:title>
          <c:tx>
            <c:rich>
              <a:bodyPr rot="-5400000" vert="horz"/>
              <a:lstStyle/>
              <a:p>
                <a:pPr>
                  <a:defRPr/>
                </a:pPr>
                <a:r>
                  <a:rPr lang="en-AU"/>
                  <a:t>Progress</a:t>
                </a:r>
              </a:p>
            </c:rich>
          </c:tx>
          <c:layout>
            <c:manualLayout>
              <c:xMode val="edge"/>
              <c:yMode val="edge"/>
              <c:x val="5.1029335618761856E-2"/>
              <c:y val="0.38202142081437912"/>
            </c:manualLayout>
          </c:layout>
        </c:title>
        <c:numFmt formatCode="0" sourceLinked="0"/>
        <c:tickLblPos val="nextTo"/>
        <c:txPr>
          <a:bodyPr/>
          <a:lstStyle/>
          <a:p>
            <a:pPr>
              <a:defRPr sz="900" b="0" baseline="0"/>
            </a:pPr>
            <a:endParaRPr lang="en-US"/>
          </a:p>
        </c:txPr>
        <c:crossAx val="111384832"/>
        <c:crosses val="autoZero"/>
        <c:crossBetween val="between"/>
      </c:valAx>
    </c:plotArea>
    <c:legend>
      <c:legendPos val="b"/>
      <c:layout>
        <c:manualLayout>
          <c:xMode val="edge"/>
          <c:yMode val="edge"/>
          <c:x val="0.15867754945265988"/>
          <c:y val="0.86280095062120332"/>
          <c:w val="0.68264490109468756"/>
          <c:h val="0.11767626613704071"/>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sz="1000" baseline="0"/>
            </a:pPr>
            <a:r>
              <a:rPr lang="en-AU" sz="1000" baseline="0"/>
              <a:t>Average progress in Numeracy between </a:t>
            </a:r>
          </a:p>
          <a:p>
            <a:pPr>
              <a:defRPr sz="1000" baseline="0"/>
            </a:pPr>
            <a:r>
              <a:rPr lang="en-AU" sz="1000" baseline="0"/>
              <a:t>Year 3 and 5</a:t>
            </a:r>
          </a:p>
        </c:rich>
      </c:tx>
    </c:title>
    <c:plotArea>
      <c:layout>
        <c:manualLayout>
          <c:layoutTarget val="inner"/>
          <c:xMode val="edge"/>
          <c:yMode val="edge"/>
          <c:x val="0.23576481511239952"/>
          <c:y val="0.29281313614032428"/>
          <c:w val="0.71057653507597252"/>
          <c:h val="0.44819011020331923"/>
        </c:manualLayout>
      </c:layout>
      <c:barChart>
        <c:barDir val="col"/>
        <c:grouping val="clustered"/>
        <c:ser>
          <c:idx val="0"/>
          <c:order val="0"/>
          <c:tx>
            <c:strRef>
              <c:f>'Tables and Graphs'!$CG$28</c:f>
              <c:strCache>
                <c:ptCount val="1"/>
                <c:pt idx="0">
                  <c:v>School</c:v>
                </c:pt>
              </c:strCache>
            </c:strRef>
          </c:tx>
          <c:spPr>
            <a:solidFill>
              <a:srgbClr val="C0504D">
                <a:lumMod val="60000"/>
                <a:lumOff val="40000"/>
              </a:srgbClr>
            </a:solidFill>
            <a:ln>
              <a:solidFill>
                <a:sysClr val="windowText" lastClr="000000"/>
              </a:solidFill>
            </a:ln>
          </c:spPr>
          <c:cat>
            <c:strRef>
              <c:f>'Tables and Graphs'!$CH$9:$CI$9</c:f>
              <c:strCache>
                <c:ptCount val="2"/>
                <c:pt idx="0">
                  <c:v>2008-2010</c:v>
                </c:pt>
                <c:pt idx="1">
                  <c:v>2009-2011</c:v>
                </c:pt>
              </c:strCache>
            </c:strRef>
          </c:cat>
          <c:val>
            <c:numRef>
              <c:f>'Tables and Graphs'!$CH$28:$CI$28</c:f>
              <c:numCache>
                <c:formatCode>0.0</c:formatCode>
                <c:ptCount val="2"/>
                <c:pt idx="0">
                  <c:v>113.99000000000002</c:v>
                </c:pt>
                <c:pt idx="1">
                  <c:v>104.06</c:v>
                </c:pt>
              </c:numCache>
            </c:numRef>
          </c:val>
        </c:ser>
        <c:ser>
          <c:idx val="1"/>
          <c:order val="1"/>
          <c:tx>
            <c:strRef>
              <c:f>'Tables and Graphs'!$CG$29</c:f>
              <c:strCache>
                <c:ptCount val="1"/>
                <c:pt idx="0">
                  <c:v>SSG</c:v>
                </c:pt>
              </c:strCache>
            </c:strRef>
          </c:tx>
          <c:spPr>
            <a:solidFill>
              <a:srgbClr val="9BBB59">
                <a:lumMod val="60000"/>
                <a:lumOff val="40000"/>
              </a:srgbClr>
            </a:solidFill>
            <a:ln>
              <a:solidFill>
                <a:schemeClr val="tx1"/>
              </a:solidFill>
            </a:ln>
          </c:spPr>
          <c:cat>
            <c:strRef>
              <c:f>'Tables and Graphs'!$CH$9:$CI$9</c:f>
              <c:strCache>
                <c:ptCount val="2"/>
                <c:pt idx="0">
                  <c:v>2008-2010</c:v>
                </c:pt>
                <c:pt idx="1">
                  <c:v>2009-2011</c:v>
                </c:pt>
              </c:strCache>
            </c:strRef>
          </c:cat>
          <c:val>
            <c:numRef>
              <c:f>'Tables and Graphs'!$CH$29:$CI$29</c:f>
              <c:numCache>
                <c:formatCode>0.0</c:formatCode>
                <c:ptCount val="2"/>
                <c:pt idx="0">
                  <c:v>86.2</c:v>
                </c:pt>
                <c:pt idx="1">
                  <c:v>94.1</c:v>
                </c:pt>
              </c:numCache>
            </c:numRef>
          </c:val>
        </c:ser>
        <c:ser>
          <c:idx val="2"/>
          <c:order val="2"/>
          <c:tx>
            <c:strRef>
              <c:f>'Tables and Graphs'!$CG$30</c:f>
              <c:strCache>
                <c:ptCount val="1"/>
                <c:pt idx="0">
                  <c:v>State DEC</c:v>
                </c:pt>
              </c:strCache>
            </c:strRef>
          </c:tx>
          <c:spPr>
            <a:solidFill>
              <a:srgbClr val="1F497D">
                <a:lumMod val="40000"/>
                <a:lumOff val="60000"/>
              </a:srgbClr>
            </a:solidFill>
            <a:ln>
              <a:solidFill>
                <a:prstClr val="black"/>
              </a:solidFill>
            </a:ln>
          </c:spPr>
          <c:val>
            <c:numRef>
              <c:f>'Tables and Graphs'!$CH$30:$CI$30</c:f>
              <c:numCache>
                <c:formatCode>0.0</c:formatCode>
                <c:ptCount val="2"/>
                <c:pt idx="0">
                  <c:v>89.614000000000004</c:v>
                </c:pt>
                <c:pt idx="1">
                  <c:v>95.790999999999997</c:v>
                </c:pt>
              </c:numCache>
            </c:numRef>
          </c:val>
        </c:ser>
        <c:axId val="110962176"/>
        <c:axId val="110963712"/>
      </c:barChart>
      <c:catAx>
        <c:axId val="110962176"/>
        <c:scaling>
          <c:orientation val="minMax"/>
        </c:scaling>
        <c:axPos val="b"/>
        <c:tickLblPos val="nextTo"/>
        <c:txPr>
          <a:bodyPr/>
          <a:lstStyle/>
          <a:p>
            <a:pPr>
              <a:defRPr sz="900" b="1" baseline="0"/>
            </a:pPr>
            <a:endParaRPr lang="en-US"/>
          </a:p>
        </c:txPr>
        <c:crossAx val="110963712"/>
        <c:crosses val="autoZero"/>
        <c:auto val="1"/>
        <c:lblAlgn val="ctr"/>
        <c:lblOffset val="100"/>
      </c:catAx>
      <c:valAx>
        <c:axId val="110963712"/>
        <c:scaling>
          <c:orientation val="minMax"/>
          <c:min val="0"/>
        </c:scaling>
        <c:axPos val="l"/>
        <c:majorGridlines/>
        <c:title>
          <c:tx>
            <c:rich>
              <a:bodyPr rot="-5400000" vert="horz"/>
              <a:lstStyle/>
              <a:p>
                <a:pPr>
                  <a:defRPr/>
                </a:pPr>
                <a:r>
                  <a:rPr lang="en-AU"/>
                  <a:t>Progress</a:t>
                </a:r>
              </a:p>
            </c:rich>
          </c:tx>
          <c:layout>
            <c:manualLayout>
              <c:xMode val="edge"/>
              <c:yMode val="edge"/>
              <c:x val="5.5564483011052192E-2"/>
              <c:y val="0.37898746098051972"/>
            </c:manualLayout>
          </c:layout>
        </c:title>
        <c:numFmt formatCode="0" sourceLinked="0"/>
        <c:tickLblPos val="nextTo"/>
        <c:txPr>
          <a:bodyPr/>
          <a:lstStyle/>
          <a:p>
            <a:pPr>
              <a:defRPr sz="900" b="0" baseline="0"/>
            </a:pPr>
            <a:endParaRPr lang="en-US"/>
          </a:p>
        </c:txPr>
        <c:crossAx val="110962176"/>
        <c:crosses val="autoZero"/>
        <c:crossBetween val="between"/>
      </c:valAx>
    </c:plotArea>
    <c:legend>
      <c:legendPos val="b"/>
      <c:layout>
        <c:manualLayout>
          <c:xMode val="edge"/>
          <c:yMode val="edge"/>
          <c:x val="0.16005950841671487"/>
          <c:y val="0.85519401058475375"/>
          <c:w val="0.67988098316658119"/>
          <c:h val="0.11857648121853726"/>
        </c:manualLayout>
      </c:layout>
      <c:txPr>
        <a:bodyPr/>
        <a:lstStyle/>
        <a:p>
          <a:pPr>
            <a:defRPr b="1"/>
          </a:pPr>
          <a:endParaRPr lang="en-US"/>
        </a:p>
      </c:txPr>
    </c:legend>
    <c:plotVisOnly val="1"/>
    <c:dispBlanksAs val="gap"/>
  </c:chart>
  <c:spPr>
    <a:ln w="12700">
      <a:solidFill>
        <a:schemeClr val="bg1">
          <a:lumMod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50"/>
            </a:pPr>
            <a:r>
              <a:rPr lang="en-AU" sz="1050" baseline="0"/>
              <a:t>Student attendance rates</a:t>
            </a:r>
          </a:p>
        </c:rich>
      </c:tx>
    </c:title>
    <c:plotArea>
      <c:layout>
        <c:manualLayout>
          <c:layoutTarget val="inner"/>
          <c:xMode val="edge"/>
          <c:yMode val="edge"/>
          <c:x val="0.19316635528188836"/>
          <c:y val="0.18896620453836882"/>
          <c:w val="0.74639982634710256"/>
          <c:h val="0.54138222594522156"/>
        </c:manualLayout>
      </c:layout>
      <c:barChart>
        <c:barDir val="col"/>
        <c:grouping val="clustered"/>
        <c:ser>
          <c:idx val="0"/>
          <c:order val="0"/>
          <c:tx>
            <c:strRef>
              <c:f>'Tables and Graphs'!$CT$5:$CT$13</c:f>
              <c:strCache>
                <c:ptCount val="1"/>
                <c:pt idx="0">
                  <c:v>School</c:v>
                </c:pt>
              </c:strCache>
            </c:strRef>
          </c:tx>
          <c:spPr>
            <a:solidFill>
              <a:schemeClr val="accent2">
                <a:lumMod val="60000"/>
                <a:lumOff val="40000"/>
              </a:schemeClr>
            </a:solidFill>
            <a:ln>
              <a:solidFill>
                <a:sysClr val="windowText" lastClr="000000"/>
              </a:solidFill>
            </a:ln>
          </c:spPr>
          <c:cat>
            <c:numRef>
              <c:f>'Tables and Graphs'!$CV$5:$CY$5</c:f>
              <c:numCache>
                <c:formatCode>General</c:formatCode>
                <c:ptCount val="4"/>
                <c:pt idx="0">
                  <c:v>2008</c:v>
                </c:pt>
                <c:pt idx="1">
                  <c:v>2009</c:v>
                </c:pt>
                <c:pt idx="2">
                  <c:v>2010</c:v>
                </c:pt>
                <c:pt idx="3">
                  <c:v>2011</c:v>
                </c:pt>
              </c:numCache>
            </c:numRef>
          </c:cat>
          <c:val>
            <c:numRef>
              <c:f>'Tables and Graphs'!$CV$13:$CY$13</c:f>
              <c:numCache>
                <c:formatCode>0.0</c:formatCode>
                <c:ptCount val="4"/>
                <c:pt idx="0">
                  <c:v>93.77</c:v>
                </c:pt>
                <c:pt idx="1">
                  <c:v>93.928515685969074</c:v>
                </c:pt>
                <c:pt idx="2">
                  <c:v>94.606350587211779</c:v>
                </c:pt>
                <c:pt idx="3">
                  <c:v>94.580502449044076</c:v>
                </c:pt>
              </c:numCache>
            </c:numRef>
          </c:val>
        </c:ser>
        <c:ser>
          <c:idx val="1"/>
          <c:order val="1"/>
          <c:tx>
            <c:strRef>
              <c:f>'Tables and Graphs'!$CT$14:$CT$20</c:f>
              <c:strCache>
                <c:ptCount val="1"/>
                <c:pt idx="0">
                  <c:v>Region</c:v>
                </c:pt>
              </c:strCache>
            </c:strRef>
          </c:tx>
          <c:spPr>
            <a:solidFill>
              <a:schemeClr val="accent3">
                <a:lumMod val="60000"/>
                <a:lumOff val="40000"/>
              </a:schemeClr>
            </a:solidFill>
            <a:ln>
              <a:solidFill>
                <a:sysClr val="windowText" lastClr="000000"/>
              </a:solidFill>
            </a:ln>
          </c:spPr>
          <c:cat>
            <c:numRef>
              <c:f>'Tables and Graphs'!$CV$5:$CY$5</c:f>
              <c:numCache>
                <c:formatCode>General</c:formatCode>
                <c:ptCount val="4"/>
                <c:pt idx="0">
                  <c:v>2008</c:v>
                </c:pt>
                <c:pt idx="1">
                  <c:v>2009</c:v>
                </c:pt>
                <c:pt idx="2">
                  <c:v>2010</c:v>
                </c:pt>
                <c:pt idx="3">
                  <c:v>2011</c:v>
                </c:pt>
              </c:numCache>
            </c:numRef>
          </c:cat>
          <c:val>
            <c:numRef>
              <c:f>'Tables and Graphs'!$CV$21:$CY$21</c:f>
              <c:numCache>
                <c:formatCode>0.0</c:formatCode>
                <c:ptCount val="4"/>
                <c:pt idx="0">
                  <c:v>93.691866587795673</c:v>
                </c:pt>
                <c:pt idx="1">
                  <c:v>91.5</c:v>
                </c:pt>
                <c:pt idx="2">
                  <c:v>93.9</c:v>
                </c:pt>
                <c:pt idx="3">
                  <c:v>93.877165479713327</c:v>
                </c:pt>
              </c:numCache>
            </c:numRef>
          </c:val>
        </c:ser>
        <c:ser>
          <c:idx val="2"/>
          <c:order val="2"/>
          <c:tx>
            <c:strRef>
              <c:f>'Tables and Graphs'!$CT$22:$CT$28</c:f>
              <c:strCache>
                <c:ptCount val="1"/>
                <c:pt idx="0">
                  <c:v>State DEC</c:v>
                </c:pt>
              </c:strCache>
            </c:strRef>
          </c:tx>
          <c:spPr>
            <a:solidFill>
              <a:schemeClr val="tx2">
                <a:lumMod val="40000"/>
                <a:lumOff val="60000"/>
              </a:schemeClr>
            </a:solidFill>
            <a:ln>
              <a:solidFill>
                <a:sysClr val="windowText" lastClr="000000"/>
              </a:solidFill>
            </a:ln>
          </c:spPr>
          <c:cat>
            <c:numRef>
              <c:f>'Tables and Graphs'!$CV$5:$CY$5</c:f>
              <c:numCache>
                <c:formatCode>General</c:formatCode>
                <c:ptCount val="4"/>
                <c:pt idx="0">
                  <c:v>2008</c:v>
                </c:pt>
                <c:pt idx="1">
                  <c:v>2009</c:v>
                </c:pt>
                <c:pt idx="2">
                  <c:v>2010</c:v>
                </c:pt>
                <c:pt idx="3">
                  <c:v>2011</c:v>
                </c:pt>
              </c:numCache>
            </c:numRef>
          </c:cat>
          <c:val>
            <c:numRef>
              <c:f>'Tables and Graphs'!$CV$29:$CY$29</c:f>
              <c:numCache>
                <c:formatCode>0.0</c:formatCode>
                <c:ptCount val="4"/>
                <c:pt idx="0" formatCode="General">
                  <c:v>94.1</c:v>
                </c:pt>
                <c:pt idx="1">
                  <c:v>92.1</c:v>
                </c:pt>
                <c:pt idx="2">
                  <c:v>94.4</c:v>
                </c:pt>
                <c:pt idx="3">
                  <c:v>94.264406231260764</c:v>
                </c:pt>
              </c:numCache>
            </c:numRef>
          </c:val>
        </c:ser>
        <c:axId val="220450816"/>
        <c:axId val="220457600"/>
      </c:barChart>
      <c:catAx>
        <c:axId val="220450816"/>
        <c:scaling>
          <c:orientation val="minMax"/>
        </c:scaling>
        <c:axPos val="b"/>
        <c:title>
          <c:tx>
            <c:rich>
              <a:bodyPr/>
              <a:lstStyle/>
              <a:p>
                <a:pPr>
                  <a:defRPr sz="1000"/>
                </a:pPr>
                <a:r>
                  <a:rPr lang="en-AU" sz="1000"/>
                  <a:t>Year</a:t>
                </a:r>
              </a:p>
            </c:rich>
          </c:tx>
          <c:layout>
            <c:manualLayout>
              <c:xMode val="edge"/>
              <c:yMode val="edge"/>
              <c:x val="0.47192036045886315"/>
              <c:y val="0.82717250263715569"/>
            </c:manualLayout>
          </c:layout>
        </c:title>
        <c:numFmt formatCode="General" sourceLinked="1"/>
        <c:tickLblPos val="nextTo"/>
        <c:txPr>
          <a:bodyPr/>
          <a:lstStyle/>
          <a:p>
            <a:pPr>
              <a:defRPr b="1"/>
            </a:pPr>
            <a:endParaRPr lang="en-US"/>
          </a:p>
        </c:txPr>
        <c:crossAx val="220457600"/>
        <c:crosses val="autoZero"/>
        <c:auto val="1"/>
        <c:lblAlgn val="ctr"/>
        <c:lblOffset val="100"/>
      </c:catAx>
      <c:valAx>
        <c:axId val="220457600"/>
        <c:scaling>
          <c:orientation val="minMax"/>
          <c:max val="100"/>
          <c:min val="0"/>
        </c:scaling>
        <c:axPos val="l"/>
        <c:majorGridlines/>
        <c:title>
          <c:tx>
            <c:rich>
              <a:bodyPr rot="-5400000" vert="horz"/>
              <a:lstStyle/>
              <a:p>
                <a:pPr>
                  <a:defRPr/>
                </a:pPr>
                <a:r>
                  <a:rPr lang="en-AU" sz="1100"/>
                  <a:t>Attendance rate</a:t>
                </a:r>
              </a:p>
            </c:rich>
          </c:tx>
          <c:layout>
            <c:manualLayout>
              <c:xMode val="edge"/>
              <c:yMode val="edge"/>
              <c:x val="2.3907480667639761E-2"/>
              <c:y val="0.25627580957462881"/>
            </c:manualLayout>
          </c:layout>
        </c:title>
        <c:numFmt formatCode="0" sourceLinked="0"/>
        <c:tickLblPos val="nextTo"/>
        <c:txPr>
          <a:bodyPr/>
          <a:lstStyle/>
          <a:p>
            <a:pPr>
              <a:defRPr b="0"/>
            </a:pPr>
            <a:endParaRPr lang="en-US"/>
          </a:p>
        </c:txPr>
        <c:crossAx val="220450816"/>
        <c:crosses val="autoZero"/>
        <c:crossBetween val="between"/>
        <c:majorUnit val="25"/>
      </c:valAx>
    </c:plotArea>
    <c:legend>
      <c:legendPos val="b"/>
      <c:layout>
        <c:manualLayout>
          <c:xMode val="edge"/>
          <c:yMode val="edge"/>
          <c:x val="0.19463817138171383"/>
          <c:y val="0.89517155837441975"/>
          <c:w val="0.67147279235732382"/>
          <c:h val="0.10482848339609695"/>
        </c:manualLayout>
      </c:layout>
      <c:txPr>
        <a:bodyPr/>
        <a:lstStyle/>
        <a:p>
          <a:pPr>
            <a:defRPr b="1"/>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3 Reading</a:t>
            </a:r>
          </a:p>
        </c:rich>
      </c:tx>
      <c:spPr>
        <a:ln w="0"/>
      </c:spPr>
    </c:title>
    <c:plotArea>
      <c:layout>
        <c:manualLayout>
          <c:layoutTarget val="inner"/>
          <c:xMode val="edge"/>
          <c:yMode val="edge"/>
          <c:x val="0.20106736918392792"/>
          <c:y val="0.15769320247953494"/>
          <c:w val="0.77078564444594577"/>
          <c:h val="0.53550321036297199"/>
        </c:manualLayout>
      </c:layout>
      <c:barChart>
        <c:barDir val="col"/>
        <c:grouping val="clustered"/>
        <c:ser>
          <c:idx val="0"/>
          <c:order val="0"/>
          <c:tx>
            <c:strRef>
              <c:f>'Tables and Graphs'!$M$10:$O$10</c:f>
              <c:strCache>
                <c:ptCount val="1"/>
                <c:pt idx="0">
                  <c:v>Percentage in Band</c:v>
                </c:pt>
              </c:strCache>
            </c:strRef>
          </c:tx>
          <c:spPr>
            <a:solidFill>
              <a:schemeClr val="accent2">
                <a:lumMod val="60000"/>
                <a:lumOff val="40000"/>
              </a:schemeClr>
            </a:solidFill>
            <a:ln>
              <a:solidFill>
                <a:sysClr val="windowText" lastClr="000000"/>
              </a:solidFill>
            </a:ln>
          </c:spPr>
          <c:val>
            <c:numRef>
              <c:f>'Tables and Graphs'!$P$14:$U$14</c:f>
              <c:numCache>
                <c:formatCode>0.0</c:formatCode>
                <c:ptCount val="6"/>
                <c:pt idx="0">
                  <c:v>2.777777777777795</c:v>
                </c:pt>
                <c:pt idx="1">
                  <c:v>5.5555555555555296</c:v>
                </c:pt>
                <c:pt idx="2">
                  <c:v>19.444444444444446</c:v>
                </c:pt>
                <c:pt idx="3">
                  <c:v>27.777777777777779</c:v>
                </c:pt>
                <c:pt idx="4">
                  <c:v>22.222222222222104</c:v>
                </c:pt>
                <c:pt idx="5">
                  <c:v>22.222222222222104</c:v>
                </c:pt>
              </c:numCache>
            </c:numRef>
          </c:val>
        </c:ser>
        <c:ser>
          <c:idx val="1"/>
          <c:order val="1"/>
          <c:tx>
            <c:strRef>
              <c:f>'Tables and Graphs'!$M$11:$O$11</c:f>
              <c:strCache>
                <c:ptCount val="1"/>
                <c:pt idx="0">
                  <c:v>School Average 2008-2011</c:v>
                </c:pt>
              </c:strCache>
            </c:strRef>
          </c:tx>
          <c:spPr>
            <a:solidFill>
              <a:schemeClr val="accent4">
                <a:lumMod val="60000"/>
                <a:lumOff val="40000"/>
              </a:schemeClr>
            </a:solidFill>
            <a:ln>
              <a:solidFill>
                <a:sysClr val="windowText" lastClr="000000"/>
              </a:solidFill>
            </a:ln>
          </c:spPr>
          <c:val>
            <c:numRef>
              <c:f>'Tables and Graphs'!$P$15:$U$15</c:f>
              <c:numCache>
                <c:formatCode>0.0</c:formatCode>
                <c:ptCount val="6"/>
                <c:pt idx="0">
                  <c:v>3.3333333333333335</c:v>
                </c:pt>
                <c:pt idx="1">
                  <c:v>15.333333333333332</c:v>
                </c:pt>
                <c:pt idx="2">
                  <c:v>21.333333333333218</c:v>
                </c:pt>
                <c:pt idx="3">
                  <c:v>21.333333333333218</c:v>
                </c:pt>
                <c:pt idx="4">
                  <c:v>20.666666666666668</c:v>
                </c:pt>
                <c:pt idx="5">
                  <c:v>18</c:v>
                </c:pt>
              </c:numCache>
            </c:numRef>
          </c:val>
        </c:ser>
        <c:ser>
          <c:idx val="2"/>
          <c:order val="2"/>
          <c:tx>
            <c:strRef>
              <c:f>'Tables and Graphs'!$M$12:$O$12</c:f>
              <c:strCache>
                <c:ptCount val="1"/>
                <c:pt idx="0">
                  <c:v>SSG % in Band 2011</c:v>
                </c:pt>
              </c:strCache>
            </c:strRef>
          </c:tx>
          <c:spPr>
            <a:solidFill>
              <a:schemeClr val="accent3">
                <a:lumMod val="60000"/>
                <a:lumOff val="40000"/>
              </a:schemeClr>
            </a:solidFill>
            <a:ln>
              <a:solidFill>
                <a:sysClr val="windowText" lastClr="000000"/>
              </a:solidFill>
            </a:ln>
          </c:spPr>
          <c:val>
            <c:numRef>
              <c:f>'Tables and Graphs'!$P$12:$U$12</c:f>
              <c:numCache>
                <c:formatCode>0.0</c:formatCode>
                <c:ptCount val="6"/>
                <c:pt idx="0">
                  <c:v>3.5</c:v>
                </c:pt>
                <c:pt idx="1">
                  <c:v>14.3</c:v>
                </c:pt>
                <c:pt idx="2">
                  <c:v>20.7</c:v>
                </c:pt>
                <c:pt idx="3">
                  <c:v>22.8</c:v>
                </c:pt>
                <c:pt idx="4">
                  <c:v>17.2</c:v>
                </c:pt>
                <c:pt idx="5">
                  <c:v>21.4</c:v>
                </c:pt>
              </c:numCache>
            </c:numRef>
          </c:val>
        </c:ser>
        <c:ser>
          <c:idx val="3"/>
          <c:order val="3"/>
          <c:tx>
            <c:strRef>
              <c:f>'Tables and Graphs'!$M$13:$O$13</c:f>
              <c:strCache>
                <c:ptCount val="1"/>
                <c:pt idx="0">
                  <c:v>State DEC % in Band 2011</c:v>
                </c:pt>
              </c:strCache>
            </c:strRef>
          </c:tx>
          <c:spPr>
            <a:solidFill>
              <a:schemeClr val="tx2">
                <a:lumMod val="40000"/>
                <a:lumOff val="60000"/>
              </a:schemeClr>
            </a:solidFill>
            <a:ln>
              <a:solidFill>
                <a:sysClr val="windowText" lastClr="000000"/>
              </a:solidFill>
            </a:ln>
          </c:spPr>
          <c:val>
            <c:numRef>
              <c:f>'Tables and Graphs'!$P$13:$U$13</c:f>
              <c:numCache>
                <c:formatCode>0.0</c:formatCode>
                <c:ptCount val="6"/>
                <c:pt idx="0">
                  <c:v>4.5999999999999996</c:v>
                </c:pt>
                <c:pt idx="1">
                  <c:v>12.2</c:v>
                </c:pt>
                <c:pt idx="2">
                  <c:v>19.399999999999999</c:v>
                </c:pt>
                <c:pt idx="3">
                  <c:v>21.1</c:v>
                </c:pt>
                <c:pt idx="4">
                  <c:v>16.600000000000001</c:v>
                </c:pt>
                <c:pt idx="5">
                  <c:v>26.2</c:v>
                </c:pt>
              </c:numCache>
            </c:numRef>
          </c:val>
        </c:ser>
        <c:axId val="224450816"/>
        <c:axId val="220578176"/>
      </c:barChart>
      <c:catAx>
        <c:axId val="224450816"/>
        <c:scaling>
          <c:orientation val="minMax"/>
        </c:scaling>
        <c:axPos val="b"/>
        <c:title>
          <c:tx>
            <c:rich>
              <a:bodyPr/>
              <a:lstStyle/>
              <a:p>
                <a:pPr>
                  <a:defRPr/>
                </a:pPr>
                <a:r>
                  <a:rPr lang="en-AU"/>
                  <a:t>Bands</a:t>
                </a:r>
              </a:p>
            </c:rich>
          </c:tx>
          <c:layout>
            <c:manualLayout>
              <c:xMode val="edge"/>
              <c:yMode val="edge"/>
              <c:x val="0.45248023133756043"/>
              <c:y val="0.7571474183708452"/>
            </c:manualLayout>
          </c:layout>
        </c:title>
        <c:tickLblPos val="nextTo"/>
        <c:txPr>
          <a:bodyPr/>
          <a:lstStyle/>
          <a:p>
            <a:pPr>
              <a:defRPr b="0"/>
            </a:pPr>
            <a:endParaRPr lang="en-US"/>
          </a:p>
        </c:txPr>
        <c:crossAx val="220578176"/>
        <c:crossesAt val="0"/>
        <c:auto val="1"/>
        <c:lblAlgn val="ctr"/>
        <c:lblOffset val="100"/>
      </c:catAx>
      <c:valAx>
        <c:axId val="220578176"/>
        <c:scaling>
          <c:orientation val="minMax"/>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224450816"/>
        <c:crosses val="autoZero"/>
        <c:crossBetween val="between"/>
      </c:valAx>
    </c:plotArea>
    <c:legend>
      <c:legendPos val="b"/>
      <c:layout>
        <c:manualLayout>
          <c:xMode val="edge"/>
          <c:yMode val="edge"/>
          <c:x val="0.20301028378875341"/>
          <c:y val="0.8134712117535946"/>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3 Writing</a:t>
            </a:r>
          </a:p>
        </c:rich>
      </c:tx>
      <c:spPr>
        <a:ln w="0"/>
      </c:spPr>
    </c:title>
    <c:plotArea>
      <c:layout>
        <c:manualLayout>
          <c:layoutTarget val="inner"/>
          <c:xMode val="edge"/>
          <c:yMode val="edge"/>
          <c:x val="0.20106736918392792"/>
          <c:y val="0.15769320247953494"/>
          <c:w val="0.77078564444594577"/>
          <c:h val="0.53550321036297199"/>
        </c:manualLayout>
      </c:layout>
      <c:barChart>
        <c:barDir val="col"/>
        <c:grouping val="clustered"/>
        <c:ser>
          <c:idx val="0"/>
          <c:order val="0"/>
          <c:tx>
            <c:strRef>
              <c:f>'Tables and Graphs'!$M$23:$O$23</c:f>
              <c:strCache>
                <c:ptCount val="1"/>
                <c:pt idx="0">
                  <c:v>Percentage in Band</c:v>
                </c:pt>
              </c:strCache>
            </c:strRef>
          </c:tx>
          <c:spPr>
            <a:solidFill>
              <a:schemeClr val="accent2">
                <a:lumMod val="60000"/>
                <a:lumOff val="40000"/>
              </a:schemeClr>
            </a:solidFill>
            <a:ln>
              <a:solidFill>
                <a:sysClr val="windowText" lastClr="000000"/>
              </a:solidFill>
            </a:ln>
          </c:spPr>
          <c:cat>
            <c:numRef>
              <c:f>'Tables and Graphs'!$P$21:$U$21</c:f>
              <c:numCache>
                <c:formatCode>General</c:formatCode>
                <c:ptCount val="6"/>
                <c:pt idx="0">
                  <c:v>1</c:v>
                </c:pt>
                <c:pt idx="1">
                  <c:v>2</c:v>
                </c:pt>
                <c:pt idx="2">
                  <c:v>3</c:v>
                </c:pt>
                <c:pt idx="3">
                  <c:v>4</c:v>
                </c:pt>
                <c:pt idx="4">
                  <c:v>5</c:v>
                </c:pt>
                <c:pt idx="5">
                  <c:v>6</c:v>
                </c:pt>
              </c:numCache>
            </c:numRef>
          </c:cat>
          <c:val>
            <c:numRef>
              <c:f>'Tables and Graphs'!$P$26:$U$26</c:f>
              <c:numCache>
                <c:formatCode>0.0</c:formatCode>
                <c:ptCount val="6"/>
                <c:pt idx="0">
                  <c:v>0</c:v>
                </c:pt>
                <c:pt idx="1">
                  <c:v>5.5555555555555136</c:v>
                </c:pt>
                <c:pt idx="2">
                  <c:v>13.888888888888889</c:v>
                </c:pt>
                <c:pt idx="3">
                  <c:v>27.777777777777779</c:v>
                </c:pt>
                <c:pt idx="4">
                  <c:v>41.666666666666245</c:v>
                </c:pt>
                <c:pt idx="5">
                  <c:v>11.111111111111025</c:v>
                </c:pt>
              </c:numCache>
            </c:numRef>
          </c:val>
        </c:ser>
        <c:ser>
          <c:idx val="2"/>
          <c:order val="1"/>
          <c:tx>
            <c:strRef>
              <c:f>'Tables and Graphs'!$M$24:$O$24</c:f>
              <c:strCache>
                <c:ptCount val="1"/>
                <c:pt idx="0">
                  <c:v>SSG % in Band 2011</c:v>
                </c:pt>
              </c:strCache>
            </c:strRef>
          </c:tx>
          <c:spPr>
            <a:solidFill>
              <a:schemeClr val="accent3">
                <a:lumMod val="60000"/>
                <a:lumOff val="40000"/>
              </a:schemeClr>
            </a:solidFill>
            <a:ln>
              <a:solidFill>
                <a:sysClr val="windowText" lastClr="000000"/>
              </a:solidFill>
            </a:ln>
          </c:spPr>
          <c:cat>
            <c:numRef>
              <c:f>'Tables and Graphs'!$P$21:$U$21</c:f>
              <c:numCache>
                <c:formatCode>General</c:formatCode>
                <c:ptCount val="6"/>
                <c:pt idx="0">
                  <c:v>1</c:v>
                </c:pt>
                <c:pt idx="1">
                  <c:v>2</c:v>
                </c:pt>
                <c:pt idx="2">
                  <c:v>3</c:v>
                </c:pt>
                <c:pt idx="3">
                  <c:v>4</c:v>
                </c:pt>
                <c:pt idx="4">
                  <c:v>5</c:v>
                </c:pt>
                <c:pt idx="5">
                  <c:v>6</c:v>
                </c:pt>
              </c:numCache>
            </c:numRef>
          </c:cat>
          <c:val>
            <c:numRef>
              <c:f>'Tables and Graphs'!$P$24:$U$24</c:f>
              <c:numCache>
                <c:formatCode>0.0</c:formatCode>
                <c:ptCount val="6"/>
                <c:pt idx="0">
                  <c:v>2.8</c:v>
                </c:pt>
                <c:pt idx="1">
                  <c:v>4.7</c:v>
                </c:pt>
                <c:pt idx="2">
                  <c:v>18</c:v>
                </c:pt>
                <c:pt idx="3">
                  <c:v>23.3</c:v>
                </c:pt>
                <c:pt idx="4">
                  <c:v>40.200000000000003</c:v>
                </c:pt>
                <c:pt idx="5">
                  <c:v>10.9</c:v>
                </c:pt>
              </c:numCache>
            </c:numRef>
          </c:val>
        </c:ser>
        <c:ser>
          <c:idx val="3"/>
          <c:order val="2"/>
          <c:tx>
            <c:strRef>
              <c:f>'Tables and Graphs'!$M$25:$O$25</c:f>
              <c:strCache>
                <c:ptCount val="1"/>
                <c:pt idx="0">
                  <c:v>State DEC % in Band 2011</c:v>
                </c:pt>
              </c:strCache>
            </c:strRef>
          </c:tx>
          <c:spPr>
            <a:solidFill>
              <a:schemeClr val="tx2">
                <a:lumMod val="40000"/>
                <a:lumOff val="60000"/>
              </a:schemeClr>
            </a:solidFill>
            <a:ln>
              <a:solidFill>
                <a:sysClr val="windowText" lastClr="000000"/>
              </a:solidFill>
            </a:ln>
          </c:spPr>
          <c:cat>
            <c:numRef>
              <c:f>'Tables and Graphs'!$P$21:$U$21</c:f>
              <c:numCache>
                <c:formatCode>General</c:formatCode>
                <c:ptCount val="6"/>
                <c:pt idx="0">
                  <c:v>1</c:v>
                </c:pt>
                <c:pt idx="1">
                  <c:v>2</c:v>
                </c:pt>
                <c:pt idx="2">
                  <c:v>3</c:v>
                </c:pt>
                <c:pt idx="3">
                  <c:v>4</c:v>
                </c:pt>
                <c:pt idx="4">
                  <c:v>5</c:v>
                </c:pt>
                <c:pt idx="5">
                  <c:v>6</c:v>
                </c:pt>
              </c:numCache>
            </c:numRef>
          </c:cat>
          <c:val>
            <c:numRef>
              <c:f>'Tables and Graphs'!$P$25:$U$25</c:f>
              <c:numCache>
                <c:formatCode>0.0</c:formatCode>
                <c:ptCount val="6"/>
                <c:pt idx="0">
                  <c:v>2.5</c:v>
                </c:pt>
                <c:pt idx="1">
                  <c:v>5</c:v>
                </c:pt>
                <c:pt idx="2">
                  <c:v>14.4</c:v>
                </c:pt>
                <c:pt idx="3">
                  <c:v>21.7</c:v>
                </c:pt>
                <c:pt idx="4">
                  <c:v>40.700000000000003</c:v>
                </c:pt>
                <c:pt idx="5">
                  <c:v>15.8</c:v>
                </c:pt>
              </c:numCache>
            </c:numRef>
          </c:val>
        </c:ser>
        <c:axId val="220596096"/>
        <c:axId val="220610560"/>
      </c:barChart>
      <c:catAx>
        <c:axId val="220596096"/>
        <c:scaling>
          <c:orientation val="minMax"/>
        </c:scaling>
        <c:axPos val="b"/>
        <c:title>
          <c:tx>
            <c:rich>
              <a:bodyPr/>
              <a:lstStyle/>
              <a:p>
                <a:pPr>
                  <a:defRPr/>
                </a:pPr>
                <a:r>
                  <a:rPr lang="en-AU"/>
                  <a:t>Bands</a:t>
                </a:r>
              </a:p>
            </c:rich>
          </c:tx>
          <c:layout>
            <c:manualLayout>
              <c:xMode val="edge"/>
              <c:yMode val="edge"/>
              <c:x val="0.45248008526356015"/>
              <c:y val="0.76481269563055065"/>
            </c:manualLayout>
          </c:layout>
        </c:title>
        <c:numFmt formatCode="General" sourceLinked="1"/>
        <c:tickLblPos val="nextTo"/>
        <c:txPr>
          <a:bodyPr/>
          <a:lstStyle/>
          <a:p>
            <a:pPr>
              <a:defRPr b="0"/>
            </a:pPr>
            <a:endParaRPr lang="en-US"/>
          </a:p>
        </c:txPr>
        <c:crossAx val="220610560"/>
        <c:crosses val="autoZero"/>
        <c:auto val="1"/>
        <c:lblAlgn val="ctr"/>
        <c:lblOffset val="100"/>
      </c:catAx>
      <c:valAx>
        <c:axId val="220610560"/>
        <c:scaling>
          <c:orientation val="minMax"/>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220596096"/>
        <c:crosses val="autoZero"/>
        <c:crossBetween val="between"/>
        <c:majorUnit val="10"/>
      </c:valAx>
    </c:plotArea>
    <c:legend>
      <c:legendPos val="b"/>
      <c:layout>
        <c:manualLayout>
          <c:xMode val="edge"/>
          <c:yMode val="edge"/>
          <c:x val="0.20301022861148529"/>
          <c:y val="0.82066529990922255"/>
          <c:w val="0.68780227074519695"/>
          <c:h val="0.140347934584074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3 Spelling</a:t>
            </a:r>
          </a:p>
        </c:rich>
      </c:tx>
      <c:spPr>
        <a:ln w="0"/>
      </c:spPr>
    </c:title>
    <c:plotArea>
      <c:layout>
        <c:manualLayout>
          <c:layoutTarget val="inner"/>
          <c:xMode val="edge"/>
          <c:yMode val="edge"/>
          <c:x val="0.18760682703823692"/>
          <c:y val="0.16922342234541221"/>
          <c:w val="0.77078564444594644"/>
          <c:h val="0.53167057173311361"/>
        </c:manualLayout>
      </c:layout>
      <c:barChart>
        <c:barDir val="col"/>
        <c:grouping val="clustered"/>
        <c:ser>
          <c:idx val="0"/>
          <c:order val="0"/>
          <c:tx>
            <c:strRef>
              <c:f>'Tables and Graphs'!$Y$10:$AA$10</c:f>
              <c:strCache>
                <c:ptCount val="1"/>
                <c:pt idx="0">
                  <c:v>Percentage in Band</c:v>
                </c:pt>
              </c:strCache>
            </c:strRef>
          </c:tx>
          <c:spPr>
            <a:solidFill>
              <a:schemeClr val="accent2">
                <a:lumMod val="60000"/>
                <a:lumOff val="40000"/>
              </a:schemeClr>
            </a:solidFill>
            <a:ln>
              <a:solidFill>
                <a:sysClr val="windowText" lastClr="000000"/>
              </a:solidFill>
            </a:ln>
          </c:spPr>
          <c:val>
            <c:numRef>
              <c:f>'Tables and Graphs'!$AB$14:$AG$14</c:f>
              <c:numCache>
                <c:formatCode>0.0</c:formatCode>
                <c:ptCount val="6"/>
                <c:pt idx="0">
                  <c:v>5.5555555555555296</c:v>
                </c:pt>
                <c:pt idx="1">
                  <c:v>2.777777777777795</c:v>
                </c:pt>
                <c:pt idx="2">
                  <c:v>22.222222222222104</c:v>
                </c:pt>
                <c:pt idx="3">
                  <c:v>30.555555555555557</c:v>
                </c:pt>
                <c:pt idx="4">
                  <c:v>16.666666666666664</c:v>
                </c:pt>
                <c:pt idx="5">
                  <c:v>22.222222222222104</c:v>
                </c:pt>
              </c:numCache>
            </c:numRef>
          </c:val>
        </c:ser>
        <c:ser>
          <c:idx val="1"/>
          <c:order val="1"/>
          <c:tx>
            <c:strRef>
              <c:f>'Tables and Graphs'!$Y$11:$AA$11</c:f>
              <c:strCache>
                <c:ptCount val="1"/>
                <c:pt idx="0">
                  <c:v>School Average 2008-2011</c:v>
                </c:pt>
              </c:strCache>
            </c:strRef>
          </c:tx>
          <c:spPr>
            <a:solidFill>
              <a:schemeClr val="accent4">
                <a:lumMod val="60000"/>
                <a:lumOff val="40000"/>
              </a:schemeClr>
            </a:solidFill>
            <a:ln>
              <a:solidFill>
                <a:sysClr val="windowText" lastClr="000000"/>
              </a:solidFill>
            </a:ln>
          </c:spPr>
          <c:val>
            <c:numRef>
              <c:f>'Tables and Graphs'!$AB$15:$AG$15</c:f>
              <c:numCache>
                <c:formatCode>0.0</c:formatCode>
                <c:ptCount val="6"/>
                <c:pt idx="0">
                  <c:v>4.6052631578947434</c:v>
                </c:pt>
                <c:pt idx="1">
                  <c:v>4.6052631578947434</c:v>
                </c:pt>
                <c:pt idx="2">
                  <c:v>10.526315789473648</c:v>
                </c:pt>
                <c:pt idx="3">
                  <c:v>19.736842105263129</c:v>
                </c:pt>
                <c:pt idx="4">
                  <c:v>24.342105263157887</c:v>
                </c:pt>
                <c:pt idx="5">
                  <c:v>23.026315789473685</c:v>
                </c:pt>
              </c:numCache>
            </c:numRef>
          </c:val>
        </c:ser>
        <c:ser>
          <c:idx val="2"/>
          <c:order val="2"/>
          <c:tx>
            <c:strRef>
              <c:f>'Tables and Graphs'!$Y$12:$AA$12</c:f>
              <c:strCache>
                <c:ptCount val="1"/>
                <c:pt idx="0">
                  <c:v>SSG % in Band 2011</c:v>
                </c:pt>
              </c:strCache>
            </c:strRef>
          </c:tx>
          <c:spPr>
            <a:solidFill>
              <a:schemeClr val="accent3">
                <a:lumMod val="60000"/>
                <a:lumOff val="40000"/>
              </a:schemeClr>
            </a:solidFill>
            <a:ln>
              <a:solidFill>
                <a:sysClr val="windowText" lastClr="000000"/>
              </a:solidFill>
            </a:ln>
          </c:spPr>
          <c:val>
            <c:numRef>
              <c:f>'Tables and Graphs'!$AB$12:$AG$12</c:f>
              <c:numCache>
                <c:formatCode>0.0</c:formatCode>
                <c:ptCount val="6"/>
                <c:pt idx="0">
                  <c:v>3.6</c:v>
                </c:pt>
                <c:pt idx="1">
                  <c:v>9.2000000000000011</c:v>
                </c:pt>
                <c:pt idx="2">
                  <c:v>22.6</c:v>
                </c:pt>
                <c:pt idx="3">
                  <c:v>20.6</c:v>
                </c:pt>
                <c:pt idx="4">
                  <c:v>24.2</c:v>
                </c:pt>
                <c:pt idx="5">
                  <c:v>19.899999999999999</c:v>
                </c:pt>
              </c:numCache>
            </c:numRef>
          </c:val>
        </c:ser>
        <c:ser>
          <c:idx val="3"/>
          <c:order val="3"/>
          <c:tx>
            <c:strRef>
              <c:f>'Tables and Graphs'!$Y$13:$AA$13</c:f>
              <c:strCache>
                <c:ptCount val="1"/>
                <c:pt idx="0">
                  <c:v>State DEC % in Band 2011</c:v>
                </c:pt>
              </c:strCache>
            </c:strRef>
          </c:tx>
          <c:spPr>
            <a:solidFill>
              <a:schemeClr val="tx2">
                <a:lumMod val="40000"/>
                <a:lumOff val="60000"/>
              </a:schemeClr>
            </a:solidFill>
            <a:ln>
              <a:solidFill>
                <a:sysClr val="windowText" lastClr="000000"/>
              </a:solidFill>
            </a:ln>
          </c:spPr>
          <c:val>
            <c:numRef>
              <c:f>'Tables and Graphs'!$AB$13:$AG$13</c:f>
              <c:numCache>
                <c:formatCode>0.0</c:formatCode>
                <c:ptCount val="6"/>
                <c:pt idx="0">
                  <c:v>4.4000000000000004</c:v>
                </c:pt>
                <c:pt idx="1">
                  <c:v>7.9</c:v>
                </c:pt>
                <c:pt idx="2">
                  <c:v>19.399999999999999</c:v>
                </c:pt>
                <c:pt idx="3">
                  <c:v>20.3</c:v>
                </c:pt>
                <c:pt idx="4">
                  <c:v>24.8</c:v>
                </c:pt>
                <c:pt idx="5">
                  <c:v>23.1</c:v>
                </c:pt>
              </c:numCache>
            </c:numRef>
          </c:val>
        </c:ser>
        <c:axId val="220629248"/>
        <c:axId val="220696960"/>
      </c:barChart>
      <c:catAx>
        <c:axId val="220629248"/>
        <c:scaling>
          <c:orientation val="minMax"/>
        </c:scaling>
        <c:axPos val="b"/>
        <c:title>
          <c:tx>
            <c:rich>
              <a:bodyPr/>
              <a:lstStyle/>
              <a:p>
                <a:pPr>
                  <a:defRPr/>
                </a:pPr>
                <a:r>
                  <a:rPr lang="en-AU"/>
                  <a:t>Bands</a:t>
                </a:r>
              </a:p>
            </c:rich>
          </c:tx>
          <c:layout>
            <c:manualLayout>
              <c:xMode val="edge"/>
              <c:yMode val="edge"/>
              <c:x val="0.45247994721043094"/>
              <c:y val="0.75331477974097349"/>
            </c:manualLayout>
          </c:layout>
        </c:title>
        <c:tickLblPos val="nextTo"/>
        <c:txPr>
          <a:bodyPr/>
          <a:lstStyle/>
          <a:p>
            <a:pPr>
              <a:defRPr b="0"/>
            </a:pPr>
            <a:endParaRPr lang="en-US"/>
          </a:p>
        </c:txPr>
        <c:crossAx val="220696960"/>
        <c:crosses val="autoZero"/>
        <c:auto val="1"/>
        <c:lblAlgn val="ctr"/>
        <c:lblOffset val="100"/>
      </c:catAx>
      <c:valAx>
        <c:axId val="220696960"/>
        <c:scaling>
          <c:orientation val="minMax"/>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220629248"/>
        <c:crosses val="autoZero"/>
        <c:crossBetween val="between"/>
      </c:valAx>
    </c:plotArea>
    <c:legend>
      <c:legendPos val="b"/>
      <c:layout>
        <c:manualLayout>
          <c:xMode val="edge"/>
          <c:yMode val="edge"/>
          <c:x val="0.20301016730836771"/>
          <c:y val="0.80963857312373444"/>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3 Grammar &amp; Punctuation</a:t>
            </a:r>
          </a:p>
        </c:rich>
      </c:tx>
      <c:spPr>
        <a:ln w="0"/>
      </c:spPr>
    </c:title>
    <c:plotArea>
      <c:layout>
        <c:manualLayout>
          <c:layoutTarget val="inner"/>
          <c:xMode val="edge"/>
          <c:yMode val="edge"/>
          <c:x val="0.20106736918392756"/>
          <c:y val="0.15769320247953494"/>
          <c:w val="0.77078564444594466"/>
          <c:h val="0.53933584899283049"/>
        </c:manualLayout>
      </c:layout>
      <c:barChart>
        <c:barDir val="col"/>
        <c:grouping val="clustered"/>
        <c:ser>
          <c:idx val="0"/>
          <c:order val="0"/>
          <c:tx>
            <c:strRef>
              <c:f>'Tables and Graphs'!$Y$23:$AA$23</c:f>
              <c:strCache>
                <c:ptCount val="1"/>
                <c:pt idx="0">
                  <c:v>Percentage in Band</c:v>
                </c:pt>
              </c:strCache>
            </c:strRef>
          </c:tx>
          <c:spPr>
            <a:solidFill>
              <a:schemeClr val="accent2">
                <a:lumMod val="60000"/>
                <a:lumOff val="40000"/>
              </a:schemeClr>
            </a:solidFill>
            <a:ln>
              <a:solidFill>
                <a:sysClr val="windowText" lastClr="000000"/>
              </a:solidFill>
            </a:ln>
          </c:spPr>
          <c:val>
            <c:numRef>
              <c:f>'Tables and Graphs'!$AB$27:$AG$27</c:f>
              <c:numCache>
                <c:formatCode>0.0</c:formatCode>
                <c:ptCount val="6"/>
                <c:pt idx="0">
                  <c:v>2.7777777777777968</c:v>
                </c:pt>
                <c:pt idx="1">
                  <c:v>8.3333333333333321</c:v>
                </c:pt>
                <c:pt idx="2">
                  <c:v>13.888888888888889</c:v>
                </c:pt>
                <c:pt idx="3">
                  <c:v>33.333333333333329</c:v>
                </c:pt>
                <c:pt idx="4">
                  <c:v>25</c:v>
                </c:pt>
                <c:pt idx="5">
                  <c:v>16.666666666666664</c:v>
                </c:pt>
              </c:numCache>
            </c:numRef>
          </c:val>
        </c:ser>
        <c:ser>
          <c:idx val="1"/>
          <c:order val="1"/>
          <c:tx>
            <c:strRef>
              <c:f>'Tables and Graphs'!$Y$24</c:f>
              <c:strCache>
                <c:ptCount val="1"/>
                <c:pt idx="0">
                  <c:v>School Average 2008-2011</c:v>
                </c:pt>
              </c:strCache>
            </c:strRef>
          </c:tx>
          <c:spPr>
            <a:solidFill>
              <a:schemeClr val="accent4">
                <a:lumMod val="60000"/>
                <a:lumOff val="40000"/>
              </a:schemeClr>
            </a:solidFill>
            <a:ln>
              <a:solidFill>
                <a:prstClr val="black"/>
              </a:solidFill>
            </a:ln>
          </c:spPr>
          <c:val>
            <c:numRef>
              <c:f>'Tables and Graphs'!$AB$28:$AG$28</c:f>
              <c:numCache>
                <c:formatCode>0.0</c:formatCode>
                <c:ptCount val="6"/>
                <c:pt idx="0">
                  <c:v>6.5789473684210495</c:v>
                </c:pt>
                <c:pt idx="1">
                  <c:v>9.8684210526315699</c:v>
                </c:pt>
                <c:pt idx="2">
                  <c:v>17.105263157894822</c:v>
                </c:pt>
                <c:pt idx="3">
                  <c:v>24.342105263157887</c:v>
                </c:pt>
                <c:pt idx="4">
                  <c:v>24.342105263157887</c:v>
                </c:pt>
                <c:pt idx="5">
                  <c:v>23.026315789473685</c:v>
                </c:pt>
              </c:numCache>
            </c:numRef>
          </c:val>
        </c:ser>
        <c:ser>
          <c:idx val="2"/>
          <c:order val="2"/>
          <c:tx>
            <c:strRef>
              <c:f>'Tables and Graphs'!$Y$25:$AA$25</c:f>
              <c:strCache>
                <c:ptCount val="1"/>
                <c:pt idx="0">
                  <c:v>SSG % in Band 2011</c:v>
                </c:pt>
              </c:strCache>
            </c:strRef>
          </c:tx>
          <c:spPr>
            <a:solidFill>
              <a:schemeClr val="accent3">
                <a:lumMod val="60000"/>
                <a:lumOff val="40000"/>
              </a:schemeClr>
            </a:solidFill>
            <a:ln>
              <a:solidFill>
                <a:sysClr val="windowText" lastClr="000000"/>
              </a:solidFill>
            </a:ln>
          </c:spPr>
          <c:val>
            <c:numRef>
              <c:f>'Tables and Graphs'!$AB$25:$AG$25</c:f>
              <c:numCache>
                <c:formatCode>0.0</c:formatCode>
                <c:ptCount val="6"/>
                <c:pt idx="0">
                  <c:v>6.1</c:v>
                </c:pt>
                <c:pt idx="1">
                  <c:v>9.6</c:v>
                </c:pt>
                <c:pt idx="2">
                  <c:v>17.399999999999999</c:v>
                </c:pt>
                <c:pt idx="3">
                  <c:v>26.7</c:v>
                </c:pt>
                <c:pt idx="4">
                  <c:v>19.7</c:v>
                </c:pt>
                <c:pt idx="5">
                  <c:v>20.6</c:v>
                </c:pt>
              </c:numCache>
            </c:numRef>
          </c:val>
        </c:ser>
        <c:ser>
          <c:idx val="3"/>
          <c:order val="3"/>
          <c:tx>
            <c:strRef>
              <c:f>'Tables and Graphs'!$Y$26:$AA$26</c:f>
              <c:strCache>
                <c:ptCount val="1"/>
                <c:pt idx="0">
                  <c:v>State DEC % in Band 2011</c:v>
                </c:pt>
              </c:strCache>
            </c:strRef>
          </c:tx>
          <c:spPr>
            <a:solidFill>
              <a:schemeClr val="tx2">
                <a:lumMod val="40000"/>
                <a:lumOff val="60000"/>
              </a:schemeClr>
            </a:solidFill>
            <a:ln>
              <a:solidFill>
                <a:sysClr val="windowText" lastClr="000000"/>
              </a:solidFill>
            </a:ln>
          </c:spPr>
          <c:val>
            <c:numRef>
              <c:f>'Tables and Graphs'!$AB$26:$AG$26</c:f>
              <c:numCache>
                <c:formatCode>0.0</c:formatCode>
                <c:ptCount val="6"/>
                <c:pt idx="0">
                  <c:v>5.6</c:v>
                </c:pt>
                <c:pt idx="1">
                  <c:v>7.8</c:v>
                </c:pt>
                <c:pt idx="2">
                  <c:v>16.2</c:v>
                </c:pt>
                <c:pt idx="3">
                  <c:v>24.2</c:v>
                </c:pt>
                <c:pt idx="4">
                  <c:v>20.7</c:v>
                </c:pt>
                <c:pt idx="5">
                  <c:v>25.5</c:v>
                </c:pt>
              </c:numCache>
            </c:numRef>
          </c:val>
        </c:ser>
        <c:axId val="220805760"/>
        <c:axId val="220812032"/>
      </c:barChart>
      <c:catAx>
        <c:axId val="220805760"/>
        <c:scaling>
          <c:orientation val="minMax"/>
        </c:scaling>
        <c:axPos val="b"/>
        <c:title>
          <c:tx>
            <c:rich>
              <a:bodyPr/>
              <a:lstStyle/>
              <a:p>
                <a:pPr>
                  <a:defRPr/>
                </a:pPr>
                <a:r>
                  <a:rPr lang="en-AU"/>
                  <a:t>Bands</a:t>
                </a:r>
              </a:p>
            </c:rich>
          </c:tx>
          <c:layout>
            <c:manualLayout>
              <c:xMode val="edge"/>
              <c:yMode val="edge"/>
              <c:x val="0.45248008526355893"/>
              <c:y val="0.76481269563055065"/>
            </c:manualLayout>
          </c:layout>
        </c:title>
        <c:tickLblPos val="nextTo"/>
        <c:txPr>
          <a:bodyPr/>
          <a:lstStyle/>
          <a:p>
            <a:pPr>
              <a:defRPr b="0"/>
            </a:pPr>
            <a:endParaRPr lang="en-US"/>
          </a:p>
        </c:txPr>
        <c:crossAx val="220812032"/>
        <c:crosses val="autoZero"/>
        <c:auto val="1"/>
        <c:lblAlgn val="ctr"/>
        <c:lblOffset val="100"/>
      </c:catAx>
      <c:valAx>
        <c:axId val="220812032"/>
        <c:scaling>
          <c:orientation val="minMax"/>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220805760"/>
        <c:crosses val="autoZero"/>
        <c:crossBetween val="between"/>
      </c:valAx>
    </c:plotArea>
    <c:legend>
      <c:legendPos val="b"/>
      <c:layout>
        <c:manualLayout>
          <c:xMode val="edge"/>
          <c:yMode val="edge"/>
          <c:x val="0.25934826808620781"/>
          <c:y val="0.8173041521660146"/>
          <c:w val="0.56496026024915902"/>
          <c:h val="0.17602189653534894"/>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3 Numeracy</a:t>
            </a:r>
          </a:p>
        </c:rich>
      </c:tx>
      <c:spPr>
        <a:ln w="0"/>
      </c:spPr>
    </c:title>
    <c:plotArea>
      <c:layout>
        <c:manualLayout>
          <c:layoutTarget val="inner"/>
          <c:xMode val="edge"/>
          <c:yMode val="edge"/>
          <c:x val="0.20106736918392798"/>
          <c:y val="0.15769320247953494"/>
          <c:w val="0.77078564444594599"/>
          <c:h val="0.53933584899283049"/>
        </c:manualLayout>
      </c:layout>
      <c:barChart>
        <c:barDir val="col"/>
        <c:grouping val="clustered"/>
        <c:ser>
          <c:idx val="0"/>
          <c:order val="0"/>
          <c:tx>
            <c:strRef>
              <c:f>'Tables and Graphs'!$AK$10:$AM$10</c:f>
              <c:strCache>
                <c:ptCount val="1"/>
                <c:pt idx="0">
                  <c:v>Percentage in Band</c:v>
                </c:pt>
              </c:strCache>
            </c:strRef>
          </c:tx>
          <c:spPr>
            <a:solidFill>
              <a:schemeClr val="accent2">
                <a:lumMod val="60000"/>
                <a:lumOff val="40000"/>
              </a:schemeClr>
            </a:solidFill>
            <a:ln>
              <a:solidFill>
                <a:sysClr val="windowText" lastClr="000000"/>
              </a:solidFill>
            </a:ln>
          </c:spPr>
          <c:val>
            <c:numRef>
              <c:f>'Tables and Graphs'!$AN$14:$AS$14</c:f>
              <c:numCache>
                <c:formatCode>0.0</c:formatCode>
                <c:ptCount val="6"/>
                <c:pt idx="0">
                  <c:v>0</c:v>
                </c:pt>
                <c:pt idx="1">
                  <c:v>11.111111111111025</c:v>
                </c:pt>
                <c:pt idx="2">
                  <c:v>22.222222222222022</c:v>
                </c:pt>
                <c:pt idx="3">
                  <c:v>19.444444444444446</c:v>
                </c:pt>
                <c:pt idx="4">
                  <c:v>22.222222222222022</c:v>
                </c:pt>
                <c:pt idx="5">
                  <c:v>25</c:v>
                </c:pt>
              </c:numCache>
            </c:numRef>
          </c:val>
        </c:ser>
        <c:ser>
          <c:idx val="1"/>
          <c:order val="1"/>
          <c:tx>
            <c:strRef>
              <c:f>'Tables and Graphs'!$AK$11:$AM$11</c:f>
              <c:strCache>
                <c:ptCount val="1"/>
                <c:pt idx="0">
                  <c:v>School Average 2008-2011</c:v>
                </c:pt>
              </c:strCache>
            </c:strRef>
          </c:tx>
          <c:spPr>
            <a:solidFill>
              <a:schemeClr val="accent4">
                <a:lumMod val="60000"/>
                <a:lumOff val="40000"/>
              </a:schemeClr>
            </a:solidFill>
            <a:ln>
              <a:solidFill>
                <a:sysClr val="windowText" lastClr="000000"/>
              </a:solidFill>
            </a:ln>
          </c:spPr>
          <c:val>
            <c:numRef>
              <c:f>'Tables and Graphs'!$AN$15:$AS$15</c:f>
              <c:numCache>
                <c:formatCode>0.0</c:formatCode>
                <c:ptCount val="6"/>
                <c:pt idx="0">
                  <c:v>4.0268456375838895</c:v>
                </c:pt>
                <c:pt idx="1">
                  <c:v>11.409395973154362</c:v>
                </c:pt>
                <c:pt idx="2">
                  <c:v>22.147651006711431</c:v>
                </c:pt>
                <c:pt idx="3">
                  <c:v>22.147651006711431</c:v>
                </c:pt>
                <c:pt idx="4">
                  <c:v>24.161073825503326</c:v>
                </c:pt>
                <c:pt idx="5">
                  <c:v>16.107382550335569</c:v>
                </c:pt>
              </c:numCache>
            </c:numRef>
          </c:val>
        </c:ser>
        <c:ser>
          <c:idx val="2"/>
          <c:order val="2"/>
          <c:tx>
            <c:strRef>
              <c:f>'Tables and Graphs'!$AK$12:$AM$12</c:f>
              <c:strCache>
                <c:ptCount val="1"/>
                <c:pt idx="0">
                  <c:v>SSG % in Band 2011</c:v>
                </c:pt>
              </c:strCache>
            </c:strRef>
          </c:tx>
          <c:spPr>
            <a:solidFill>
              <a:schemeClr val="accent3">
                <a:lumMod val="60000"/>
                <a:lumOff val="40000"/>
              </a:schemeClr>
            </a:solidFill>
            <a:ln>
              <a:solidFill>
                <a:sysClr val="windowText" lastClr="000000"/>
              </a:solidFill>
            </a:ln>
          </c:spPr>
          <c:val>
            <c:numRef>
              <c:f>'Tables and Graphs'!$AN$12:$AS$12</c:f>
              <c:numCache>
                <c:formatCode>0.0</c:formatCode>
                <c:ptCount val="6"/>
                <c:pt idx="0">
                  <c:v>3.9</c:v>
                </c:pt>
                <c:pt idx="1">
                  <c:v>17.3</c:v>
                </c:pt>
                <c:pt idx="2">
                  <c:v>22.6</c:v>
                </c:pt>
                <c:pt idx="3">
                  <c:v>25</c:v>
                </c:pt>
                <c:pt idx="4">
                  <c:v>17.8</c:v>
                </c:pt>
                <c:pt idx="5">
                  <c:v>13.5</c:v>
                </c:pt>
              </c:numCache>
            </c:numRef>
          </c:val>
        </c:ser>
        <c:ser>
          <c:idx val="3"/>
          <c:order val="3"/>
          <c:tx>
            <c:strRef>
              <c:f>'Tables and Graphs'!$AK$13:$AM$13</c:f>
              <c:strCache>
                <c:ptCount val="1"/>
                <c:pt idx="0">
                  <c:v>State DEC % in Band 2011</c:v>
                </c:pt>
              </c:strCache>
            </c:strRef>
          </c:tx>
          <c:spPr>
            <a:solidFill>
              <a:schemeClr val="tx2">
                <a:lumMod val="40000"/>
                <a:lumOff val="60000"/>
              </a:schemeClr>
            </a:solidFill>
            <a:ln>
              <a:solidFill>
                <a:sysClr val="windowText" lastClr="000000"/>
              </a:solidFill>
            </a:ln>
          </c:spPr>
          <c:val>
            <c:numRef>
              <c:f>'Tables and Graphs'!$AN$13:$AS$13</c:f>
              <c:numCache>
                <c:formatCode>0.0</c:formatCode>
                <c:ptCount val="6"/>
                <c:pt idx="0">
                  <c:v>3.5</c:v>
                </c:pt>
                <c:pt idx="1">
                  <c:v>13.6</c:v>
                </c:pt>
                <c:pt idx="2">
                  <c:v>20.8</c:v>
                </c:pt>
                <c:pt idx="3">
                  <c:v>25.7</c:v>
                </c:pt>
                <c:pt idx="4">
                  <c:v>20</c:v>
                </c:pt>
                <c:pt idx="5">
                  <c:v>16.399999999999999</c:v>
                </c:pt>
              </c:numCache>
            </c:numRef>
          </c:val>
        </c:ser>
        <c:axId val="220855296"/>
        <c:axId val="224572544"/>
      </c:barChart>
      <c:catAx>
        <c:axId val="220855296"/>
        <c:scaling>
          <c:orientation val="minMax"/>
        </c:scaling>
        <c:axPos val="b"/>
        <c:title>
          <c:tx>
            <c:rich>
              <a:bodyPr/>
              <a:lstStyle/>
              <a:p>
                <a:pPr>
                  <a:defRPr/>
                </a:pPr>
                <a:r>
                  <a:rPr lang="en-AU"/>
                  <a:t>Bands</a:t>
                </a:r>
              </a:p>
            </c:rich>
          </c:tx>
          <c:layout>
            <c:manualLayout>
              <c:xMode val="edge"/>
              <c:yMode val="edge"/>
              <c:x val="0.45247996791353401"/>
              <c:y val="0.76098005700069982"/>
            </c:manualLayout>
          </c:layout>
        </c:title>
        <c:tickLblPos val="nextTo"/>
        <c:txPr>
          <a:bodyPr/>
          <a:lstStyle/>
          <a:p>
            <a:pPr>
              <a:defRPr b="0"/>
            </a:pPr>
            <a:endParaRPr lang="en-US"/>
          </a:p>
        </c:txPr>
        <c:crossAx val="224572544"/>
        <c:crosses val="autoZero"/>
        <c:auto val="1"/>
        <c:lblAlgn val="ctr"/>
        <c:lblOffset val="100"/>
      </c:catAx>
      <c:valAx>
        <c:axId val="224572544"/>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220855296"/>
        <c:crosses val="autoZero"/>
        <c:crossBetween val="between"/>
        <c:majorUnit val="10"/>
      </c:valAx>
    </c:plotArea>
    <c:legend>
      <c:legendPos val="b"/>
      <c:layout>
        <c:manualLayout>
          <c:xMode val="edge"/>
          <c:yMode val="edge"/>
          <c:x val="0.19836266786112691"/>
          <c:y val="0.81780933618699736"/>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AU"/>
  <c:chart>
    <c:title>
      <c:tx>
        <c:rich>
          <a:bodyPr anchor="t" anchorCtr="1"/>
          <a:lstStyle/>
          <a:p>
            <a:pPr>
              <a:defRPr sz="1000" baseline="0"/>
            </a:pPr>
            <a:r>
              <a:rPr lang="en-AU" sz="1000" baseline="0"/>
              <a:t>Percentage in bands:</a:t>
            </a:r>
          </a:p>
          <a:p>
            <a:pPr>
              <a:defRPr sz="1000" baseline="0"/>
            </a:pPr>
            <a:r>
              <a:rPr lang="en-AU" sz="1000" baseline="0"/>
              <a:t>Year 5 Reading</a:t>
            </a:r>
          </a:p>
        </c:rich>
      </c:tx>
      <c:spPr>
        <a:ln w="0"/>
      </c:spPr>
    </c:title>
    <c:plotArea>
      <c:layout>
        <c:manualLayout>
          <c:layoutTarget val="inner"/>
          <c:xMode val="edge"/>
          <c:yMode val="edge"/>
          <c:x val="0.20106736918392792"/>
          <c:y val="0.15769320247953494"/>
          <c:w val="0.77078564444594577"/>
          <c:h val="0.53934067751394565"/>
        </c:manualLayout>
      </c:layout>
      <c:barChart>
        <c:barDir val="col"/>
        <c:grouping val="clustered"/>
        <c:ser>
          <c:idx val="0"/>
          <c:order val="0"/>
          <c:tx>
            <c:strRef>
              <c:f>'Tables and Graphs'!$AW$10:$AY$10</c:f>
              <c:strCache>
                <c:ptCount val="1"/>
                <c:pt idx="0">
                  <c:v>Percentage in Band</c:v>
                </c:pt>
              </c:strCache>
            </c:strRef>
          </c:tx>
          <c:spPr>
            <a:solidFill>
              <a:schemeClr val="accent2">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Graphs'!$AZ$14:$BE$14</c:f>
              <c:numCache>
                <c:formatCode>0.0</c:formatCode>
                <c:ptCount val="6"/>
                <c:pt idx="0">
                  <c:v>8.8235294117647065</c:v>
                </c:pt>
                <c:pt idx="1">
                  <c:v>8.8235294117647065</c:v>
                </c:pt>
                <c:pt idx="2">
                  <c:v>26.47058823529412</c:v>
                </c:pt>
                <c:pt idx="3">
                  <c:v>26.47058823529412</c:v>
                </c:pt>
                <c:pt idx="4">
                  <c:v>17.647058823529431</c:v>
                </c:pt>
                <c:pt idx="5">
                  <c:v>11.76470588235294</c:v>
                </c:pt>
              </c:numCache>
            </c:numRef>
          </c:val>
        </c:ser>
        <c:ser>
          <c:idx val="1"/>
          <c:order val="1"/>
          <c:tx>
            <c:strRef>
              <c:f>'Tables and Graphs'!$AW$11:$AY$11</c:f>
              <c:strCache>
                <c:ptCount val="1"/>
                <c:pt idx="0">
                  <c:v>School Average 2008-2011</c:v>
                </c:pt>
              </c:strCache>
            </c:strRef>
          </c:tx>
          <c:spPr>
            <a:solidFill>
              <a:schemeClr val="accent4">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Graphs'!$AZ$15:$BE$15</c:f>
              <c:numCache>
                <c:formatCode>0.0</c:formatCode>
                <c:ptCount val="6"/>
                <c:pt idx="0">
                  <c:v>6.369426751592357</c:v>
                </c:pt>
                <c:pt idx="1">
                  <c:v>12.738853503184711</c:v>
                </c:pt>
                <c:pt idx="2">
                  <c:v>25.477707006369247</c:v>
                </c:pt>
                <c:pt idx="3">
                  <c:v>20.382165605095544</c:v>
                </c:pt>
                <c:pt idx="4">
                  <c:v>21.656050955414209</c:v>
                </c:pt>
                <c:pt idx="5">
                  <c:v>13.375796178344087</c:v>
                </c:pt>
              </c:numCache>
            </c:numRef>
          </c:val>
        </c:ser>
        <c:ser>
          <c:idx val="2"/>
          <c:order val="2"/>
          <c:tx>
            <c:strRef>
              <c:f>'Tables and Graphs'!$AW$12:$AY$12</c:f>
              <c:strCache>
                <c:ptCount val="1"/>
                <c:pt idx="0">
                  <c:v>SSG % in Band 2011</c:v>
                </c:pt>
              </c:strCache>
            </c:strRef>
          </c:tx>
          <c:spPr>
            <a:solidFill>
              <a:schemeClr val="accent3">
                <a:lumMod val="60000"/>
                <a:lumOff val="4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Graphs'!$AZ$12:$BE$12</c:f>
              <c:numCache>
                <c:formatCode>0.0</c:formatCode>
                <c:ptCount val="6"/>
                <c:pt idx="0">
                  <c:v>8.3000000000000007</c:v>
                </c:pt>
                <c:pt idx="1">
                  <c:v>12.1</c:v>
                </c:pt>
                <c:pt idx="2">
                  <c:v>28.1</c:v>
                </c:pt>
                <c:pt idx="3">
                  <c:v>21.1</c:v>
                </c:pt>
                <c:pt idx="4">
                  <c:v>17.100000000000001</c:v>
                </c:pt>
                <c:pt idx="5">
                  <c:v>13.3</c:v>
                </c:pt>
              </c:numCache>
            </c:numRef>
          </c:val>
        </c:ser>
        <c:ser>
          <c:idx val="3"/>
          <c:order val="3"/>
          <c:tx>
            <c:strRef>
              <c:f>'Tables and Graphs'!$AW$13:$AY$13</c:f>
              <c:strCache>
                <c:ptCount val="1"/>
                <c:pt idx="0">
                  <c:v>State DEC % in Band 2011</c:v>
                </c:pt>
              </c:strCache>
            </c:strRef>
          </c:tx>
          <c:spPr>
            <a:solidFill>
              <a:schemeClr val="tx2">
                <a:lumMod val="40000"/>
                <a:lumOff val="60000"/>
              </a:schemeClr>
            </a:solidFill>
            <a:ln>
              <a:solidFill>
                <a:sysClr val="windowText" lastClr="000000"/>
              </a:solidFill>
            </a:ln>
          </c:spPr>
          <c:cat>
            <c:numRef>
              <c:f>'Tables and Graphs'!$AZ$8:$BE$8</c:f>
              <c:numCache>
                <c:formatCode>General</c:formatCode>
                <c:ptCount val="6"/>
                <c:pt idx="0">
                  <c:v>3</c:v>
                </c:pt>
                <c:pt idx="1">
                  <c:v>4</c:v>
                </c:pt>
                <c:pt idx="2">
                  <c:v>5</c:v>
                </c:pt>
                <c:pt idx="3">
                  <c:v>6</c:v>
                </c:pt>
                <c:pt idx="4">
                  <c:v>7</c:v>
                </c:pt>
                <c:pt idx="5">
                  <c:v>8</c:v>
                </c:pt>
              </c:numCache>
            </c:numRef>
          </c:cat>
          <c:val>
            <c:numRef>
              <c:f>'Tables and Graphs'!$AZ$13:$BE$13</c:f>
              <c:numCache>
                <c:formatCode>0.0</c:formatCode>
                <c:ptCount val="6"/>
                <c:pt idx="0">
                  <c:v>8.8000000000000007</c:v>
                </c:pt>
                <c:pt idx="1">
                  <c:v>12.6</c:v>
                </c:pt>
                <c:pt idx="2">
                  <c:v>27</c:v>
                </c:pt>
                <c:pt idx="3">
                  <c:v>19.899999999999999</c:v>
                </c:pt>
                <c:pt idx="4">
                  <c:v>17.5</c:v>
                </c:pt>
                <c:pt idx="5">
                  <c:v>14.3</c:v>
                </c:pt>
              </c:numCache>
            </c:numRef>
          </c:val>
        </c:ser>
        <c:axId val="111046016"/>
        <c:axId val="111052288"/>
      </c:barChart>
      <c:catAx>
        <c:axId val="111046016"/>
        <c:scaling>
          <c:orientation val="minMax"/>
        </c:scaling>
        <c:axPos val="b"/>
        <c:title>
          <c:tx>
            <c:rich>
              <a:bodyPr/>
              <a:lstStyle/>
              <a:p>
                <a:pPr>
                  <a:defRPr/>
                </a:pPr>
                <a:r>
                  <a:rPr lang="en-AU"/>
                  <a:t>Bands</a:t>
                </a:r>
              </a:p>
            </c:rich>
          </c:tx>
          <c:layout>
            <c:manualLayout>
              <c:xMode val="edge"/>
              <c:yMode val="edge"/>
              <c:x val="0.45248008089357755"/>
              <c:y val="0.76098005700069982"/>
            </c:manualLayout>
          </c:layout>
        </c:title>
        <c:numFmt formatCode="General" sourceLinked="1"/>
        <c:tickLblPos val="nextTo"/>
        <c:txPr>
          <a:bodyPr/>
          <a:lstStyle/>
          <a:p>
            <a:pPr>
              <a:defRPr b="0"/>
            </a:pPr>
            <a:endParaRPr lang="en-US"/>
          </a:p>
        </c:txPr>
        <c:crossAx val="111052288"/>
        <c:crosses val="autoZero"/>
        <c:auto val="1"/>
        <c:lblAlgn val="ctr"/>
        <c:lblOffset val="100"/>
      </c:catAx>
      <c:valAx>
        <c:axId val="111052288"/>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111046016"/>
        <c:crosses val="autoZero"/>
        <c:crossBetween val="between"/>
        <c:majorUnit val="10"/>
      </c:valAx>
    </c:plotArea>
    <c:legend>
      <c:legendPos val="b"/>
      <c:layout>
        <c:manualLayout>
          <c:xMode val="edge"/>
          <c:yMode val="edge"/>
          <c:x val="0.20301028958776507"/>
          <c:y val="0.81780933618699736"/>
          <c:w val="0.68780227074519695"/>
          <c:h val="0.1806778830784749"/>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chart>
    <c:title>
      <c:tx>
        <c:rich>
          <a:bodyPr anchor="t" anchorCtr="1"/>
          <a:lstStyle/>
          <a:p>
            <a:pPr>
              <a:defRPr sz="1000" baseline="0"/>
            </a:pPr>
            <a:r>
              <a:rPr lang="en-AU" sz="1000" baseline="0"/>
              <a:t>Percentage in bands:</a:t>
            </a:r>
          </a:p>
          <a:p>
            <a:pPr>
              <a:defRPr sz="1000" baseline="0"/>
            </a:pPr>
            <a:r>
              <a:rPr lang="en-AU" sz="1000" baseline="0"/>
              <a:t>Year 5 Writing</a:t>
            </a:r>
          </a:p>
        </c:rich>
      </c:tx>
      <c:spPr>
        <a:ln w="0"/>
      </c:spPr>
    </c:title>
    <c:plotArea>
      <c:layout>
        <c:manualLayout>
          <c:layoutTarget val="inner"/>
          <c:xMode val="edge"/>
          <c:yMode val="edge"/>
          <c:x val="0.20106736918392798"/>
          <c:y val="0.15769320247953494"/>
          <c:w val="0.77078564444594599"/>
          <c:h val="0.53933584899283049"/>
        </c:manualLayout>
      </c:layout>
      <c:barChart>
        <c:barDir val="col"/>
        <c:grouping val="clustered"/>
        <c:ser>
          <c:idx val="0"/>
          <c:order val="0"/>
          <c:tx>
            <c:strRef>
              <c:f>'Tables and Graphs'!$AW$23:$AY$23</c:f>
              <c:strCache>
                <c:ptCount val="1"/>
                <c:pt idx="0">
                  <c:v>Percentage in Band</c:v>
                </c:pt>
              </c:strCache>
            </c:strRef>
          </c:tx>
          <c:spPr>
            <a:solidFill>
              <a:schemeClr val="accent2">
                <a:lumMod val="60000"/>
                <a:lumOff val="40000"/>
              </a:schemeClr>
            </a:solidFill>
            <a:ln>
              <a:solidFill>
                <a:sysClr val="windowText" lastClr="000000"/>
              </a:solidFill>
            </a:ln>
          </c:spPr>
          <c:cat>
            <c:numRef>
              <c:f>'Tables and Graphs'!$AZ$21:$BE$21</c:f>
              <c:numCache>
                <c:formatCode>General</c:formatCode>
                <c:ptCount val="6"/>
                <c:pt idx="0">
                  <c:v>3</c:v>
                </c:pt>
                <c:pt idx="1">
                  <c:v>4</c:v>
                </c:pt>
                <c:pt idx="2">
                  <c:v>5</c:v>
                </c:pt>
                <c:pt idx="3">
                  <c:v>6</c:v>
                </c:pt>
                <c:pt idx="4">
                  <c:v>7</c:v>
                </c:pt>
                <c:pt idx="5">
                  <c:v>8</c:v>
                </c:pt>
              </c:numCache>
            </c:numRef>
          </c:cat>
          <c:val>
            <c:numRef>
              <c:f>'Tables and Graphs'!$AZ$26:$BE$26</c:f>
              <c:numCache>
                <c:formatCode>0.0</c:formatCode>
                <c:ptCount val="6"/>
                <c:pt idx="0">
                  <c:v>8.8235294117647065</c:v>
                </c:pt>
                <c:pt idx="1">
                  <c:v>8.8235294117647065</c:v>
                </c:pt>
                <c:pt idx="2">
                  <c:v>29.411764705882355</c:v>
                </c:pt>
                <c:pt idx="3">
                  <c:v>32.352941176470544</c:v>
                </c:pt>
                <c:pt idx="4">
                  <c:v>20.588235294117503</c:v>
                </c:pt>
                <c:pt idx="5">
                  <c:v>0</c:v>
                </c:pt>
              </c:numCache>
            </c:numRef>
          </c:val>
        </c:ser>
        <c:ser>
          <c:idx val="2"/>
          <c:order val="1"/>
          <c:tx>
            <c:strRef>
              <c:f>'Tables and Graphs'!$AW$24:$AY$24</c:f>
              <c:strCache>
                <c:ptCount val="1"/>
                <c:pt idx="0">
                  <c:v>SSG % in Band 2011</c:v>
                </c:pt>
              </c:strCache>
            </c:strRef>
          </c:tx>
          <c:spPr>
            <a:solidFill>
              <a:schemeClr val="accent3">
                <a:lumMod val="60000"/>
                <a:lumOff val="40000"/>
              </a:schemeClr>
            </a:solidFill>
            <a:ln>
              <a:solidFill>
                <a:sysClr val="windowText" lastClr="000000"/>
              </a:solidFill>
            </a:ln>
          </c:spPr>
          <c:cat>
            <c:numRef>
              <c:f>'Tables and Graphs'!$AZ$21:$BE$21</c:f>
              <c:numCache>
                <c:formatCode>General</c:formatCode>
                <c:ptCount val="6"/>
                <c:pt idx="0">
                  <c:v>3</c:v>
                </c:pt>
                <c:pt idx="1">
                  <c:v>4</c:v>
                </c:pt>
                <c:pt idx="2">
                  <c:v>5</c:v>
                </c:pt>
                <c:pt idx="3">
                  <c:v>6</c:v>
                </c:pt>
                <c:pt idx="4">
                  <c:v>7</c:v>
                </c:pt>
                <c:pt idx="5">
                  <c:v>8</c:v>
                </c:pt>
              </c:numCache>
            </c:numRef>
          </c:cat>
          <c:val>
            <c:numRef>
              <c:f>'Tables and Graphs'!$AZ$24:$BE$24</c:f>
              <c:numCache>
                <c:formatCode>0.0</c:formatCode>
                <c:ptCount val="6"/>
                <c:pt idx="0">
                  <c:v>5.7</c:v>
                </c:pt>
                <c:pt idx="1">
                  <c:v>8.7000000000000011</c:v>
                </c:pt>
                <c:pt idx="2">
                  <c:v>33.1</c:v>
                </c:pt>
                <c:pt idx="3">
                  <c:v>32.5</c:v>
                </c:pt>
                <c:pt idx="4">
                  <c:v>13.8</c:v>
                </c:pt>
                <c:pt idx="5">
                  <c:v>6.2</c:v>
                </c:pt>
              </c:numCache>
            </c:numRef>
          </c:val>
        </c:ser>
        <c:ser>
          <c:idx val="3"/>
          <c:order val="2"/>
          <c:tx>
            <c:strRef>
              <c:f>'Tables and Graphs'!$AW$25:$AY$25</c:f>
              <c:strCache>
                <c:ptCount val="1"/>
                <c:pt idx="0">
                  <c:v>State DEC % in Band 2011</c:v>
                </c:pt>
              </c:strCache>
            </c:strRef>
          </c:tx>
          <c:spPr>
            <a:solidFill>
              <a:schemeClr val="tx2">
                <a:lumMod val="40000"/>
                <a:lumOff val="60000"/>
              </a:schemeClr>
            </a:solidFill>
            <a:ln>
              <a:solidFill>
                <a:sysClr val="windowText" lastClr="000000"/>
              </a:solidFill>
            </a:ln>
          </c:spPr>
          <c:cat>
            <c:numRef>
              <c:f>'Tables and Graphs'!$AZ$21:$BE$21</c:f>
              <c:numCache>
                <c:formatCode>General</c:formatCode>
                <c:ptCount val="6"/>
                <c:pt idx="0">
                  <c:v>3</c:v>
                </c:pt>
                <c:pt idx="1">
                  <c:v>4</c:v>
                </c:pt>
                <c:pt idx="2">
                  <c:v>5</c:v>
                </c:pt>
                <c:pt idx="3">
                  <c:v>6</c:v>
                </c:pt>
                <c:pt idx="4">
                  <c:v>7</c:v>
                </c:pt>
                <c:pt idx="5">
                  <c:v>8</c:v>
                </c:pt>
              </c:numCache>
            </c:numRef>
          </c:cat>
          <c:val>
            <c:numRef>
              <c:f>'Tables and Graphs'!$AZ$25:$BE$25</c:f>
              <c:numCache>
                <c:formatCode>0.0</c:formatCode>
                <c:ptCount val="6"/>
                <c:pt idx="0">
                  <c:v>5.6</c:v>
                </c:pt>
                <c:pt idx="1">
                  <c:v>8.4</c:v>
                </c:pt>
                <c:pt idx="2">
                  <c:v>32.700000000000003</c:v>
                </c:pt>
                <c:pt idx="3">
                  <c:v>29.2</c:v>
                </c:pt>
                <c:pt idx="4">
                  <c:v>15.7</c:v>
                </c:pt>
                <c:pt idx="5">
                  <c:v>8.4</c:v>
                </c:pt>
              </c:numCache>
            </c:numRef>
          </c:val>
        </c:ser>
        <c:axId val="111070208"/>
        <c:axId val="111154304"/>
      </c:barChart>
      <c:catAx>
        <c:axId val="111070208"/>
        <c:scaling>
          <c:orientation val="minMax"/>
        </c:scaling>
        <c:axPos val="b"/>
        <c:title>
          <c:tx>
            <c:rich>
              <a:bodyPr/>
              <a:lstStyle/>
              <a:p>
                <a:pPr>
                  <a:defRPr/>
                </a:pPr>
                <a:r>
                  <a:rPr lang="en-AU"/>
                  <a:t>Bands</a:t>
                </a:r>
              </a:p>
            </c:rich>
          </c:tx>
          <c:layout>
            <c:manualLayout>
              <c:xMode val="edge"/>
              <c:yMode val="edge"/>
              <c:x val="0.45248008526356015"/>
              <c:y val="0.76481269563055065"/>
            </c:manualLayout>
          </c:layout>
        </c:title>
        <c:numFmt formatCode="General" sourceLinked="1"/>
        <c:tickLblPos val="nextTo"/>
        <c:txPr>
          <a:bodyPr/>
          <a:lstStyle/>
          <a:p>
            <a:pPr>
              <a:defRPr b="0"/>
            </a:pPr>
            <a:endParaRPr lang="en-US"/>
          </a:p>
        </c:txPr>
        <c:crossAx val="111154304"/>
        <c:crosses val="autoZero"/>
        <c:auto val="1"/>
        <c:lblAlgn val="ctr"/>
        <c:lblOffset val="100"/>
      </c:catAx>
      <c:valAx>
        <c:axId val="111154304"/>
        <c:scaling>
          <c:orientation val="minMax"/>
          <c:min val="0"/>
        </c:scaling>
        <c:axPos val="l"/>
        <c:majorGridlines/>
        <c:title>
          <c:tx>
            <c:rich>
              <a:bodyPr rot="-5400000" vert="horz"/>
              <a:lstStyle/>
              <a:p>
                <a:pPr>
                  <a:defRPr/>
                </a:pPr>
                <a:r>
                  <a:rPr lang="en-AU"/>
                  <a:t>Percentage</a:t>
                </a:r>
                <a:r>
                  <a:rPr lang="en-AU" baseline="0"/>
                  <a:t> of students</a:t>
                </a:r>
                <a:endParaRPr lang="en-AU"/>
              </a:p>
            </c:rich>
          </c:tx>
        </c:title>
        <c:numFmt formatCode="0" sourceLinked="0"/>
        <c:tickLblPos val="nextTo"/>
        <c:txPr>
          <a:bodyPr/>
          <a:lstStyle/>
          <a:p>
            <a:pPr>
              <a:defRPr b="0"/>
            </a:pPr>
            <a:endParaRPr lang="en-US"/>
          </a:p>
        </c:txPr>
        <c:crossAx val="111070208"/>
        <c:crosses val="autoZero"/>
        <c:crossBetween val="between"/>
        <c:majorUnit val="10"/>
      </c:valAx>
    </c:plotArea>
    <c:legend>
      <c:legendPos val="b"/>
      <c:layout>
        <c:manualLayout>
          <c:xMode val="edge"/>
          <c:yMode val="edge"/>
          <c:x val="0.20301023991719627"/>
          <c:y val="0.82429494538339065"/>
          <c:w val="0.68780227074519695"/>
          <c:h val="0.14034793458407457"/>
        </c:manualLayout>
      </c:layout>
      <c:txPr>
        <a:bodyPr/>
        <a:lstStyle/>
        <a:p>
          <a:pPr>
            <a:defRPr sz="900" b="0" baseline="0"/>
          </a:pPr>
          <a:endParaRPr lang="en-US"/>
        </a:p>
      </c:txPr>
    </c:legend>
    <c:plotVisOnly val="1"/>
    <c:dispBlanksAs val="gap"/>
  </c:chart>
  <c:spPr>
    <a:ln>
      <a:solidFill>
        <a:schemeClr val="bg1">
          <a:lumMod val="50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F2CF-7359-4E76-B6CA-8D8C7712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5467</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sjohnston40</dc:creator>
  <cp:lastModifiedBy>Administrator</cp:lastModifiedBy>
  <cp:revision>8</cp:revision>
  <cp:lastPrinted>2012-05-29T23:45:00Z</cp:lastPrinted>
  <dcterms:created xsi:type="dcterms:W3CDTF">2012-05-17T23:47:00Z</dcterms:created>
  <dcterms:modified xsi:type="dcterms:W3CDTF">2012-06-07T01:56:00Z</dcterms:modified>
</cp:coreProperties>
</file>